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C6" w:rsidRDefault="00AC61C6" w:rsidP="00AC61C6">
      <w:pPr>
        <w:jc w:val="center"/>
        <w:rPr>
          <w:noProof/>
        </w:rPr>
      </w:pPr>
      <w:bookmarkStart w:id="0" w:name="_Toc393361845"/>
      <w:bookmarkStart w:id="1" w:name="OLE_LINK1"/>
      <w:r>
        <w:rPr>
          <w:noProof/>
        </w:rPr>
        <w:drawing>
          <wp:inline distT="0" distB="0" distL="0" distR="0">
            <wp:extent cx="1229360" cy="1107440"/>
            <wp:effectExtent l="19050" t="0" r="889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C6" w:rsidRPr="000C46CA" w:rsidRDefault="00AC61C6" w:rsidP="00AC61C6">
      <w:pPr>
        <w:jc w:val="center"/>
        <w:rPr>
          <w:rFonts w:ascii="Arial Narrow" w:hAnsi="Arial Narrow" w:cs="Arial Narrow"/>
          <w:b/>
          <w:bCs/>
          <w:shadow/>
          <w:noProof/>
          <w:sz w:val="40"/>
          <w:szCs w:val="40"/>
        </w:rPr>
      </w:pPr>
      <w:r w:rsidRPr="000C46CA">
        <w:rPr>
          <w:rFonts w:ascii="Arial Narrow" w:hAnsi="Arial Narrow" w:cs="Arial Narrow"/>
          <w:b/>
          <w:bCs/>
          <w:shadow/>
          <w:noProof/>
          <w:sz w:val="40"/>
          <w:szCs w:val="40"/>
        </w:rPr>
        <w:t>BANQUE DE LA REPUBLIQUE DU BURUNDI</w:t>
      </w:r>
    </w:p>
    <w:p w:rsidR="00AC61C6" w:rsidRDefault="00AC61C6" w:rsidP="00AC61C6">
      <w:pPr>
        <w:jc w:val="center"/>
        <w:rPr>
          <w:rFonts w:ascii="Arial Narrow" w:hAnsi="Arial Narrow" w:cs="Arial Narrow"/>
          <w:b/>
          <w:bCs/>
          <w:shadow/>
          <w:noProof/>
          <w:sz w:val="40"/>
          <w:szCs w:val="40"/>
        </w:rPr>
      </w:pPr>
      <w:r w:rsidRPr="000C46CA">
        <w:rPr>
          <w:rFonts w:ascii="Arial Narrow" w:hAnsi="Arial Narrow" w:cs="Arial Narrow"/>
          <w:b/>
          <w:bCs/>
          <w:shadow/>
          <w:noProof/>
          <w:sz w:val="40"/>
          <w:szCs w:val="40"/>
        </w:rPr>
        <w:t>SERVICE ETUDES</w:t>
      </w:r>
      <w:r>
        <w:rPr>
          <w:rFonts w:ascii="Arial Narrow" w:hAnsi="Arial Narrow" w:cs="Arial Narrow"/>
          <w:b/>
          <w:bCs/>
          <w:shadow/>
          <w:noProof/>
          <w:sz w:val="40"/>
          <w:szCs w:val="40"/>
        </w:rPr>
        <w:t xml:space="preserve"> ET STATISTIQUES</w:t>
      </w:r>
    </w:p>
    <w:p w:rsidR="00AC61C6" w:rsidRPr="001B02C4" w:rsidRDefault="00AC61C6" w:rsidP="00AC61C6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</w:r>
      <w:r>
        <w:rPr>
          <w:color w:val="0000FF"/>
          <w:sz w:val="36"/>
          <w:szCs w:val="36"/>
        </w:rPr>
        <w:pict>
          <v:group id="_x0000_s1030" editas="canvas" style="width:306pt;height:126pt;mso-position-horizontal-relative:char;mso-position-vertical-relative:line" coordorigin="4061,6971" coordsize="4896,2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061;top:6971;width:4896;height:2016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32" type="#_x0000_t80" style="position:absolute;left:4855;top:7115;width:3814;height:1489" fillcolor="silver">
              <v:textbox>
                <w:txbxContent>
                  <w:p w:rsidR="00AC61C6" w:rsidRPr="00985730" w:rsidRDefault="00AC61C6" w:rsidP="00AC61C6">
                    <w:pPr>
                      <w:shd w:val="clear" w:color="auto" w:fill="C0C0C0"/>
                      <w:jc w:val="center"/>
                      <w:rPr>
                        <w:rFonts w:ascii="Arial Narrow" w:hAnsi="Arial Narrow" w:cs="Arial Narrow"/>
                        <w:b/>
                        <w:bCs/>
                        <w:color w:val="0000FF"/>
                        <w:sz w:val="52"/>
                        <w:szCs w:val="52"/>
                        <w:lang w:val="fr-BE"/>
                      </w:rPr>
                    </w:pPr>
                    <w:r w:rsidRPr="00985730">
                      <w:rPr>
                        <w:rFonts w:ascii="Arial Narrow" w:hAnsi="Arial Narrow" w:cs="Arial Narrow"/>
                        <w:b/>
                        <w:bCs/>
                        <w:color w:val="0000FF"/>
                        <w:sz w:val="52"/>
                        <w:szCs w:val="52"/>
                        <w:lang w:val="fr-BE"/>
                      </w:rPr>
                      <w:t>INDICATEURS DE CONJONCTURE</w:t>
                    </w:r>
                  </w:p>
                  <w:p w:rsidR="00AC61C6" w:rsidRDefault="00AC61C6" w:rsidP="00AC61C6">
                    <w:pPr>
                      <w:jc w:val="center"/>
                    </w:pPr>
                  </w:p>
                </w:txbxContent>
              </v:textbox>
            </v:shape>
            <w10:wrap type="none"/>
            <w10:anchorlock/>
          </v:group>
        </w:pict>
      </w:r>
    </w:p>
    <w:bookmarkEnd w:id="1"/>
    <w:p w:rsidR="00AC61C6" w:rsidRDefault="00AC61C6" w:rsidP="00AC61C6">
      <w:pPr>
        <w:pStyle w:val="Titre2"/>
        <w:rPr>
          <w:color w:val="0000FF"/>
          <w:sz w:val="24"/>
        </w:rPr>
      </w:pPr>
      <w:r w:rsidRPr="001B02C4">
        <w:t xml:space="preserve">     </w:t>
      </w:r>
    </w:p>
    <w:p w:rsidR="00AC61C6" w:rsidRPr="001B02C4" w:rsidRDefault="00AC61C6" w:rsidP="00AC61C6">
      <w:pPr>
        <w:rPr>
          <w:color w:val="0000FF"/>
          <w:sz w:val="24"/>
          <w:szCs w:val="24"/>
        </w:rPr>
      </w:pPr>
      <w:r w:rsidRPr="00371812">
        <w:rPr>
          <w:noProof/>
          <w:sz w:val="20"/>
          <w:szCs w:val="20"/>
        </w:rPr>
        <w:pict>
          <v:shape id="computr3" o:spid="_x0000_s1034" style="position:absolute;margin-left:63.6pt;margin-top:-37.55pt;width:5in;height:285.75pt;z-index:251661312" coordsize="21600,21600" o:spt="100" adj="-11796480,,5400" path="m18250,17743r-693,-772l5429,16971r-693,772l18250,17743xem18250,17743t1155,1388l18712,18360r-14438,l3581,19131r15824,xem19405,19131t1155,1389l19867,19749r-16748,l2426,20520r18134,xem20560,20520,4620,16971r693,-771l7624,16200r,-2006l5891,14194,5891,r6122,l18135,r,10800l18135,14194r-1733,l16402,16200r1386,l19059,17743r1963,2160l21253,20057r116,309l21600,20674r,155l21600,20983r,154l21600,21291r,l21484,21446r-115,l21138,21600r-116,l10973,21600r-8894,l1848,21600r-115,-154l1617,21446r-115,-155l1386,21291r,-154l1386,20983r,-154l1502,20674r115,-308l1733,20057r231,-154l,19903,,10800,,2777r4620,l4620,16971t,m4620,16971r-462,463l2541,19286r-577,617l4620,16971xem7624,2314t8778,l16402,11880r-8778,l7624,2314xem578,4011t3465,l4043,4320r-3465,l578,4011xm7624,14194r8778,l16402,16200r-8778,e" fillcolor="#cff">
            <v:stroke joinstyle="miter"/>
            <v:formulas/>
            <v:path o:extrusionok="f" o:connecttype="custom" o:connectlocs="0,10800;10800,0;10800,21600;18135,10800" textboxrect="7811,2584,16359,11764"/>
            <o:lock v:ext="edit" verticies="t"/>
            <v:textbox style="mso-next-textbox:#computr3">
              <w:txbxContent>
                <w:p w:rsidR="00AC61C6" w:rsidRPr="00985730" w:rsidRDefault="00AC61C6" w:rsidP="00AC61C6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</w:pPr>
                  <w:r w:rsidRPr="00985730"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>Production, Finances Publiques, Monnaie et crédit, Commerce Extérieur,</w:t>
                  </w:r>
                  <w:r w:rsidRPr="005176E2"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 xml:space="preserve">Indice des </w:t>
                  </w:r>
                  <w:r w:rsidRPr="00985730"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>Prix, Taux de change</w:t>
                  </w:r>
                  <w:r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>, Indicateur d’activité du secteur bancaire</w:t>
                  </w:r>
                </w:p>
              </w:txbxContent>
            </v:textbox>
            <w10:wrap side="left"/>
            <w10:anchorlock/>
          </v:shape>
        </w:pict>
      </w:r>
    </w:p>
    <w:p w:rsidR="00AC61C6" w:rsidRPr="001B02C4" w:rsidRDefault="00AC61C6" w:rsidP="00AC61C6">
      <w:pPr>
        <w:rPr>
          <w:color w:val="0000FF"/>
          <w:sz w:val="24"/>
          <w:szCs w:val="24"/>
        </w:rPr>
      </w:pPr>
    </w:p>
    <w:p w:rsidR="00AC61C6" w:rsidRPr="001B02C4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Pr="001B02C4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Default="00082ABF" w:rsidP="00AC61C6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  <w:lang w:eastAsia="fr-FR"/>
        </w:rPr>
        <w:pict>
          <v:shape id="desk1" o:spid="_x0000_s1035" style="position:absolute;margin-left:152.35pt;margin-top:-10.35pt;width:217.75pt;height:43.5pt;z-index:251662336" coordsize="21600,21600" o:spt="100" adj="-11796480,,5400" path="m,l21600,r,21600l,21600,,xe" fillcolor="silver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  <v:textbox style="mso-next-textbox:#desk1">
              <w:txbxContent>
                <w:p w:rsidR="00082ABF" w:rsidRDefault="00082ABF" w:rsidP="00082ABF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>JUIN 2014</w:t>
                  </w:r>
                </w:p>
                <w:p w:rsidR="00082ABF" w:rsidRDefault="00082ABF" w:rsidP="00082ABF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</w:p>
                <w:p w:rsidR="00082ABF" w:rsidRDefault="00082ABF" w:rsidP="00082ABF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 xml:space="preserve"> 2011</w:t>
                  </w:r>
                </w:p>
                <w:p w:rsidR="00082ABF" w:rsidRDefault="00082ABF" w:rsidP="00082ABF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>2011</w:t>
                  </w:r>
                </w:p>
                <w:p w:rsidR="00082ABF" w:rsidRDefault="00082ABF" w:rsidP="00082ABF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 xml:space="preserve"> 2011</w:t>
                  </w:r>
                </w:p>
                <w:p w:rsidR="00082ABF" w:rsidRDefault="00082ABF" w:rsidP="00082ABF">
                  <w:pPr>
                    <w:rPr>
                      <w:sz w:val="44"/>
                      <w:szCs w:val="44"/>
                      <w:lang w:val="fr-BE"/>
                    </w:rPr>
                  </w:pPr>
                </w:p>
                <w:p w:rsidR="00082ABF" w:rsidRDefault="00082ABF" w:rsidP="00082ABF">
                  <w:pPr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>2010</w:t>
                  </w:r>
                </w:p>
                <w:p w:rsidR="00082ABF" w:rsidRPr="007B139A" w:rsidRDefault="00082ABF" w:rsidP="00082ABF">
                  <w:pPr>
                    <w:rPr>
                      <w:sz w:val="44"/>
                      <w:szCs w:val="44"/>
                      <w:lang w:val="fr-BE"/>
                    </w:rPr>
                  </w:pPr>
                </w:p>
              </w:txbxContent>
            </v:textbox>
            <w10:wrap side="left"/>
            <w10:anchorlock/>
          </v:shape>
        </w:pict>
      </w:r>
    </w:p>
    <w:p w:rsidR="00AC61C6" w:rsidRDefault="00AC61C6" w:rsidP="00AC61C6">
      <w:pPr>
        <w:rPr>
          <w:color w:val="0000FF"/>
          <w:sz w:val="24"/>
          <w:szCs w:val="24"/>
        </w:rPr>
      </w:pPr>
    </w:p>
    <w:p w:rsidR="00AC61C6" w:rsidRDefault="00AC61C6" w:rsidP="00AC61C6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AC61C6" w:rsidRPr="00A2052C" w:rsidRDefault="00AC61C6" w:rsidP="00AC61C6">
      <w:pPr>
        <w:jc w:val="center"/>
        <w:rPr>
          <w:rFonts w:ascii="Arial Narrow" w:hAnsi="Arial Narrow" w:cs="Arial Narrow"/>
          <w:b/>
          <w:bCs/>
          <w:sz w:val="40"/>
          <w:szCs w:val="40"/>
        </w:rPr>
        <w:sectPr w:rsidR="00AC61C6" w:rsidRPr="00A2052C" w:rsidSect="00985730">
          <w:footerReference w:type="default" r:id="rId8"/>
          <w:footerReference w:type="first" r:id="rId9"/>
          <w:pgSz w:w="11906" w:h="16838"/>
          <w:pgMar w:top="1134" w:right="1418" w:bottom="1701" w:left="851" w:header="720" w:footer="0" w:gutter="567"/>
          <w:pgBorders w:display="firstPage" w:offsetFrom="page">
            <w:left w:val="thinThickSmallGap" w:sz="48" w:space="24" w:color="00CCFF"/>
            <w:right w:val="thickThinSmallGap" w:sz="48" w:space="24" w:color="00CCFF"/>
          </w:pgBorders>
          <w:cols w:space="720"/>
          <w:titlePg/>
        </w:sectPr>
      </w:pPr>
    </w:p>
    <w:p w:rsidR="00D857C2" w:rsidRPr="00D857C2" w:rsidRDefault="00D857C2" w:rsidP="00D857C2">
      <w:pPr>
        <w:pStyle w:val="En-ttedetabledesmatires"/>
        <w:spacing w:after="120"/>
        <w:rPr>
          <w:rFonts w:asciiTheme="minorHAnsi" w:hAnsiTheme="minorHAnsi"/>
          <w:color w:val="00B0F0"/>
          <w:sz w:val="24"/>
        </w:rPr>
      </w:pPr>
      <w:r w:rsidRPr="00D857C2">
        <w:rPr>
          <w:rFonts w:asciiTheme="minorHAnsi" w:hAnsiTheme="minorHAnsi"/>
          <w:color w:val="00B0F0"/>
          <w:sz w:val="24"/>
        </w:rPr>
        <w:lastRenderedPageBreak/>
        <w:t>TABLE DES MATIERES</w:t>
      </w:r>
    </w:p>
    <w:sdt>
      <w:sdtPr>
        <w:rPr>
          <w:b w:val="0"/>
          <w:color w:val="auto"/>
        </w:rPr>
        <w:id w:val="9857194"/>
        <w:docPartObj>
          <w:docPartGallery w:val="Table of Contents"/>
          <w:docPartUnique/>
        </w:docPartObj>
      </w:sdtPr>
      <w:sdtContent>
        <w:p w:rsidR="00D857C2" w:rsidRPr="00294790" w:rsidRDefault="00BF67E5" w:rsidP="00D857C2">
          <w:pPr>
            <w:pStyle w:val="TM1"/>
            <w:rPr>
              <w:rFonts w:eastAsiaTheme="minorEastAsia"/>
              <w:b w:val="0"/>
              <w:noProof/>
              <w:color w:val="auto"/>
              <w:lang w:eastAsia="fr-FR"/>
            </w:rPr>
          </w:pPr>
          <w:r w:rsidRPr="00BF67E5">
            <w:fldChar w:fldCharType="begin"/>
          </w:r>
          <w:r w:rsidR="00D857C2">
            <w:instrText xml:space="preserve"> TOC \o "1-3" \h \z \u </w:instrText>
          </w:r>
          <w:r w:rsidRPr="00BF67E5">
            <w:fldChar w:fldCharType="separate"/>
          </w:r>
          <w:hyperlink w:anchor="_Toc397332942" w:history="1">
            <w:r w:rsidR="00D857C2" w:rsidRPr="00D857C2">
              <w:rPr>
                <w:rStyle w:val="Lienhypertexte"/>
                <w:rFonts w:ascii="Calibri" w:hAnsi="Calibri" w:cs="Arial"/>
                <w:noProof/>
                <w:color w:val="auto"/>
                <w:sz w:val="24"/>
              </w:rPr>
              <w:t>I. INTRODUCTION</w:t>
            </w:r>
            <w:r w:rsidR="00D857C2" w:rsidRPr="00D857C2">
              <w:rPr>
                <w:noProof/>
                <w:webHidden/>
                <w:color w:val="auto"/>
                <w:sz w:val="24"/>
              </w:rPr>
              <w:tab/>
            </w:r>
          </w:hyperlink>
          <w:r w:rsidR="00294790" w:rsidRPr="00294790">
            <w:rPr>
              <w:color w:val="auto"/>
            </w:rPr>
            <w:t>1</w:t>
          </w:r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43" w:history="1">
            <w:r w:rsidR="00D857C2" w:rsidRPr="00D857C2">
              <w:rPr>
                <w:rStyle w:val="Lienhypertexte"/>
                <w:rFonts w:ascii="Calibri" w:hAnsi="Calibri" w:cs="Calibri"/>
                <w:noProof/>
                <w:color w:val="auto"/>
              </w:rPr>
              <w:t>II. PRODUCTION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_Toc397332943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1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44" w:history="1">
            <w:r w:rsidR="00D857C2" w:rsidRPr="00D857C2">
              <w:rPr>
                <w:rStyle w:val="Lienhypertexte"/>
                <w:rFonts w:ascii="Calibri" w:hAnsi="Calibri" w:cs="Calibri"/>
                <w:noProof/>
                <w:color w:val="auto"/>
              </w:rPr>
              <w:t>Indice de la production industrielle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_Toc397332944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1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45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Thé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_Toc397332945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1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46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 xml:space="preserve">III. </w:t>
            </w:r>
            <w:r w:rsidR="00D857C2" w:rsidRPr="00D857C2">
              <w:rPr>
                <w:rStyle w:val="Lienhypertexte"/>
                <w:rFonts w:ascii="Calibri" w:hAnsi="Calibri"/>
                <w:bCs/>
                <w:noProof/>
                <w:color w:val="auto"/>
              </w:rPr>
              <w:t>INDICE DES PRIX A LA CONSOMMATION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_Toc397332946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1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47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IV. FINANCES PUBLIQUES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_Toc397332947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2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48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Recettes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_Toc397332948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2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49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Dépenses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_Toc397332949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2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50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Dette publique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_Toc397332950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2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3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51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- Dette intérieure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_Toc397332951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2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3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52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- Dette extérieure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_Toc397332952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3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53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V. BASE MONETAIRE, MASSE MONETAIRE</w:t>
            </w:r>
            <w:r w:rsidR="006D069D">
              <w:rPr>
                <w:rStyle w:val="Lienhypertexte"/>
                <w:rFonts w:ascii="Calibri" w:hAnsi="Calibri"/>
                <w:noProof/>
                <w:color w:val="auto"/>
              </w:rPr>
              <w:t xml:space="preserve"> ET CONTREPARTIES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_Toc397332953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3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55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Base monétaire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_Toc397332955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3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56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Masse monétaire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_Toc397332956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3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57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Contreparties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_Toc397332957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4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58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VI. COMMERCE EXTERIEUR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_Toc397332958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4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59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Exportations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_Toc397332959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4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60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Importations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_Toc397332960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4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61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VII. TAUX DE CHANGE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_Toc397332961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5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62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VIII. PRINCIPAUX INDICATEURS</w:t>
            </w:r>
            <w:r w:rsidR="006D069D">
              <w:rPr>
                <w:rStyle w:val="Lienhypertexte"/>
                <w:rFonts w:ascii="Calibri" w:hAnsi="Calibri"/>
                <w:noProof/>
                <w:color w:val="auto"/>
              </w:rPr>
              <w:t xml:space="preserve"> D’ACTIVITE DU SECTEUR FNANCIER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_Toc397332962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5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64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Principaux Emplois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_Toc397332964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5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65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Principales  Ressources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_Toc397332965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5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66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Les créances compromises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_Toc397332966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5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67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Résultat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_Toc397332967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5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397332968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Normes prudentielles</w:t>
            </w:r>
            <w:r w:rsidR="00D857C2" w:rsidRPr="00D857C2">
              <w:rPr>
                <w:noProof/>
                <w:webHidden/>
              </w:rPr>
              <w:tab/>
            </w:r>
            <w:r w:rsidRPr="00D857C2">
              <w:rPr>
                <w:noProof/>
                <w:webHidden/>
              </w:rPr>
              <w:fldChar w:fldCharType="begin"/>
            </w:r>
            <w:r w:rsidR="00D857C2" w:rsidRPr="00D857C2">
              <w:rPr>
                <w:noProof/>
                <w:webHidden/>
              </w:rPr>
              <w:instrText xml:space="preserve"> PAGEREF _Toc397332968 \h </w:instrText>
            </w:r>
            <w:r w:rsidRPr="00D857C2">
              <w:rPr>
                <w:noProof/>
                <w:webHidden/>
              </w:rPr>
            </w:r>
            <w:r w:rsidRPr="00D857C2">
              <w:rPr>
                <w:noProof/>
                <w:webHidden/>
              </w:rPr>
              <w:fldChar w:fldCharType="separate"/>
            </w:r>
            <w:r w:rsidR="00AF52A7">
              <w:rPr>
                <w:noProof/>
                <w:webHidden/>
              </w:rPr>
              <w:t>6</w:t>
            </w:r>
            <w:r w:rsidRPr="00D857C2">
              <w:rPr>
                <w:noProof/>
                <w:webHidden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69" w:history="1">
            <w:r w:rsidR="00D857C2" w:rsidRPr="00D857C2">
              <w:rPr>
                <w:rStyle w:val="Lienhypertexte"/>
                <w:rFonts w:ascii="Calibri" w:hAnsi="Calibri"/>
                <w:bCs/>
                <w:noProof/>
                <w:color w:val="auto"/>
              </w:rPr>
              <w:t>ANNEXE 1 : PRINCIPAUX INDCATEURS D’ACTIVITE DU SECTEUR BANCAIRE AU 30 JUIN 2014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_Toc397332969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7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70" w:history="1">
            <w:r w:rsidR="00D857C2" w:rsidRPr="00D857C2">
              <w:rPr>
                <w:rStyle w:val="Lienhypertexte"/>
                <w:rFonts w:ascii="Calibri" w:hAnsi="Calibri"/>
                <w:bCs/>
                <w:noProof/>
                <w:color w:val="auto"/>
              </w:rPr>
              <w:t>(en millions de BIF)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_Toc397332970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7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P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71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ANNEXE 2 : PRINCIPAUX INDICATEURS MENSUELS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_Toc397332971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8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Default="00BF67E5" w:rsidP="00D857C2">
          <w:pPr>
            <w:pStyle w:val="TM1"/>
            <w:rPr>
              <w:rFonts w:eastAsiaTheme="minorEastAsia"/>
              <w:noProof/>
              <w:color w:val="auto"/>
              <w:lang w:eastAsia="fr-FR"/>
            </w:rPr>
          </w:pPr>
          <w:hyperlink w:anchor="_Toc397332972" w:history="1">
            <w:r w:rsidR="00D857C2" w:rsidRPr="00D857C2">
              <w:rPr>
                <w:rStyle w:val="Lienhypertexte"/>
                <w:rFonts w:ascii="Calibri" w:hAnsi="Calibri"/>
                <w:noProof/>
                <w:color w:val="auto"/>
              </w:rPr>
              <w:t>ANNEXE 3 : PRINCIPAUX INDICATEURS ANNUELS</w:t>
            </w:r>
            <w:r w:rsidR="00D857C2" w:rsidRPr="00D857C2">
              <w:rPr>
                <w:noProof/>
                <w:webHidden/>
                <w:color w:val="auto"/>
              </w:rPr>
              <w:tab/>
            </w:r>
            <w:r w:rsidRPr="00D857C2">
              <w:rPr>
                <w:noProof/>
                <w:webHidden/>
                <w:color w:val="auto"/>
              </w:rPr>
              <w:fldChar w:fldCharType="begin"/>
            </w:r>
            <w:r w:rsidR="00D857C2" w:rsidRPr="00D857C2">
              <w:rPr>
                <w:noProof/>
                <w:webHidden/>
                <w:color w:val="auto"/>
              </w:rPr>
              <w:instrText xml:space="preserve"> PAGEREF _Toc397332972 \h </w:instrText>
            </w:r>
            <w:r w:rsidRPr="00D857C2">
              <w:rPr>
                <w:noProof/>
                <w:webHidden/>
                <w:color w:val="auto"/>
              </w:rPr>
            </w:r>
            <w:r w:rsidRPr="00D857C2">
              <w:rPr>
                <w:noProof/>
                <w:webHidden/>
                <w:color w:val="auto"/>
              </w:rPr>
              <w:fldChar w:fldCharType="separate"/>
            </w:r>
            <w:r w:rsidR="00AF52A7">
              <w:rPr>
                <w:noProof/>
                <w:webHidden/>
                <w:color w:val="auto"/>
              </w:rPr>
              <w:t>9</w:t>
            </w:r>
            <w:r w:rsidRPr="00D857C2">
              <w:rPr>
                <w:noProof/>
                <w:webHidden/>
                <w:color w:val="auto"/>
              </w:rPr>
              <w:fldChar w:fldCharType="end"/>
            </w:r>
          </w:hyperlink>
        </w:p>
        <w:p w:rsidR="00D857C2" w:rsidRDefault="00BF67E5">
          <w:r>
            <w:fldChar w:fldCharType="end"/>
          </w:r>
        </w:p>
      </w:sdtContent>
    </w:sdt>
    <w:p w:rsidR="00D857C2" w:rsidRPr="00D857C2" w:rsidRDefault="00D857C2" w:rsidP="00D857C2">
      <w:pPr>
        <w:rPr>
          <w:b/>
        </w:rPr>
        <w:sectPr w:rsidR="00D857C2" w:rsidRPr="00D857C2" w:rsidSect="00082ABF">
          <w:headerReference w:type="even" r:id="rId10"/>
          <w:headerReference w:type="default" r:id="rId11"/>
          <w:footerReference w:type="first" r:id="rId12"/>
          <w:pgSz w:w="11906" w:h="16838"/>
          <w:pgMar w:top="284" w:right="1274" w:bottom="1417" w:left="1417" w:header="708" w:footer="708" w:gutter="0"/>
          <w:pgNumType w:start="1"/>
          <w:cols w:space="708"/>
          <w:titlePg/>
          <w:docGrid w:linePitch="360"/>
        </w:sectPr>
      </w:pPr>
    </w:p>
    <w:p w:rsidR="002B485E" w:rsidRPr="00F166E5" w:rsidRDefault="002B485E" w:rsidP="00722D55">
      <w:pPr>
        <w:pStyle w:val="Titre1"/>
        <w:spacing w:after="240"/>
        <w:rPr>
          <w:rFonts w:ascii="Calibri" w:hAnsi="Calibri" w:cs="Arial"/>
          <w:b/>
          <w:bCs/>
          <w:color w:val="00B0F0"/>
          <w:sz w:val="24"/>
          <w:u w:val="none"/>
        </w:rPr>
      </w:pPr>
      <w:bookmarkStart w:id="2" w:name="_Toc397332821"/>
      <w:bookmarkStart w:id="3" w:name="_Toc397332942"/>
      <w:r w:rsidRPr="00F166E5">
        <w:rPr>
          <w:rFonts w:ascii="Calibri" w:hAnsi="Calibri" w:cs="Arial"/>
          <w:b/>
          <w:color w:val="00B0F0"/>
          <w:sz w:val="24"/>
          <w:u w:val="none"/>
        </w:rPr>
        <w:lastRenderedPageBreak/>
        <w:t>I. INTRODUCTION</w:t>
      </w:r>
      <w:bookmarkEnd w:id="0"/>
      <w:bookmarkEnd w:id="2"/>
      <w:bookmarkEnd w:id="3"/>
    </w:p>
    <w:p w:rsidR="00436A92" w:rsidRPr="002B485E" w:rsidRDefault="00436A92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bookmarkStart w:id="4" w:name="_Toc393361846"/>
      <w:r w:rsidRPr="002B485E">
        <w:rPr>
          <w:rFonts w:ascii="Calibri" w:hAnsi="Calibri"/>
          <w:sz w:val="24"/>
          <w:szCs w:val="24"/>
        </w:rPr>
        <w:t>Les principaux indicateurs économiques ci-après portent sur l’évolution, à fin juin 2014, du secteur réel et des prix, des finances publiques, du commerce extérieur et du taux de change ainsi que de la masse monétaire et ses contreparties.</w:t>
      </w:r>
    </w:p>
    <w:p w:rsidR="00436A92" w:rsidRDefault="00436A92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B485E">
        <w:rPr>
          <w:rFonts w:ascii="Calibri" w:hAnsi="Calibri"/>
          <w:sz w:val="24"/>
          <w:szCs w:val="24"/>
        </w:rPr>
        <w:t xml:space="preserve">En glissement annuel, le secteur réel a été marqué par la baisse de la production industrielle et l’accroissement du volume cumulé de thé et de café collectés, les finances publiques se sont </w:t>
      </w:r>
      <w:r>
        <w:rPr>
          <w:rFonts w:ascii="Calibri" w:hAnsi="Calibri"/>
          <w:sz w:val="24"/>
          <w:szCs w:val="24"/>
        </w:rPr>
        <w:t>davantage</w:t>
      </w:r>
      <w:r w:rsidRPr="002B485E">
        <w:rPr>
          <w:rFonts w:ascii="Calibri" w:hAnsi="Calibri"/>
          <w:sz w:val="24"/>
          <w:szCs w:val="24"/>
        </w:rPr>
        <w:t xml:space="preserve"> détériorées, le solde des transactions courantes s’est aggravé et </w:t>
      </w:r>
      <w:r w:rsidR="00C41D64">
        <w:rPr>
          <w:rFonts w:ascii="Calibri" w:hAnsi="Calibri"/>
          <w:sz w:val="24"/>
          <w:szCs w:val="24"/>
        </w:rPr>
        <w:t>le rythme de</w:t>
      </w:r>
      <w:r w:rsidR="00263C9D">
        <w:rPr>
          <w:rFonts w:ascii="Calibri" w:hAnsi="Calibri"/>
          <w:sz w:val="24"/>
          <w:szCs w:val="24"/>
        </w:rPr>
        <w:t xml:space="preserve"> croissance de la </w:t>
      </w:r>
      <w:r w:rsidRPr="002B485E">
        <w:rPr>
          <w:rFonts w:ascii="Calibri" w:hAnsi="Calibri"/>
          <w:sz w:val="24"/>
          <w:szCs w:val="24"/>
        </w:rPr>
        <w:t xml:space="preserve"> masse monétaire s’est </w:t>
      </w:r>
      <w:r w:rsidR="00263C9D">
        <w:rPr>
          <w:rFonts w:ascii="Calibri" w:hAnsi="Calibri"/>
          <w:sz w:val="24"/>
          <w:szCs w:val="24"/>
        </w:rPr>
        <w:t>ralenti.</w:t>
      </w:r>
    </w:p>
    <w:p w:rsidR="002B485E" w:rsidRPr="004847AB" w:rsidRDefault="002B485E" w:rsidP="00431C96">
      <w:pPr>
        <w:pStyle w:val="Titre1"/>
        <w:spacing w:after="120"/>
        <w:rPr>
          <w:rFonts w:ascii="Calibri" w:hAnsi="Calibri" w:cs="Calibri"/>
          <w:b/>
          <w:color w:val="00B0F0"/>
          <w:sz w:val="24"/>
          <w:u w:val="none"/>
        </w:rPr>
      </w:pPr>
      <w:bookmarkStart w:id="5" w:name="_Toc397332822"/>
      <w:bookmarkStart w:id="6" w:name="_Toc397332943"/>
      <w:r w:rsidRPr="004847AB">
        <w:rPr>
          <w:rFonts w:ascii="Calibri" w:hAnsi="Calibri" w:cs="Calibri"/>
          <w:b/>
          <w:color w:val="00B0F0"/>
          <w:sz w:val="24"/>
          <w:u w:val="none"/>
        </w:rPr>
        <w:t>II. PRODUCTION</w:t>
      </w:r>
      <w:bookmarkStart w:id="7" w:name="_Toc393361847"/>
      <w:bookmarkEnd w:id="4"/>
      <w:bookmarkEnd w:id="5"/>
      <w:bookmarkEnd w:id="6"/>
    </w:p>
    <w:p w:rsidR="002B485E" w:rsidRPr="00F166E5" w:rsidRDefault="00436A92" w:rsidP="00431C9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2B485E">
        <w:rPr>
          <w:rFonts w:ascii="Calibri" w:hAnsi="Calibri" w:cs="Calibri"/>
          <w:sz w:val="24"/>
          <w:szCs w:val="24"/>
        </w:rPr>
        <w:t>Comparé au mois précédent, le secteur réel s’est globalement amélioré au mois de juin</w:t>
      </w:r>
      <w:r w:rsidR="00AB4A41">
        <w:rPr>
          <w:rFonts w:ascii="Calibri" w:hAnsi="Calibri" w:cs="Calibri"/>
          <w:sz w:val="24"/>
          <w:szCs w:val="24"/>
        </w:rPr>
        <w:t xml:space="preserve"> 2014</w:t>
      </w:r>
      <w:r w:rsidRPr="002B485E">
        <w:rPr>
          <w:rFonts w:ascii="Calibri" w:hAnsi="Calibri" w:cs="Calibri"/>
          <w:sz w:val="24"/>
          <w:szCs w:val="24"/>
        </w:rPr>
        <w:t xml:space="preserve">. En effet, au cours de ce mois, la production industrielle s’est améliorée et le volume de café </w:t>
      </w:r>
      <w:proofErr w:type="spellStart"/>
      <w:r w:rsidRPr="002B485E">
        <w:rPr>
          <w:rFonts w:ascii="Calibri" w:hAnsi="Calibri" w:cs="Calibri"/>
          <w:sz w:val="24"/>
          <w:szCs w:val="24"/>
        </w:rPr>
        <w:t>parche</w:t>
      </w:r>
      <w:proofErr w:type="spellEnd"/>
      <w:r w:rsidRPr="002B485E">
        <w:rPr>
          <w:rFonts w:ascii="Calibri" w:hAnsi="Calibri" w:cs="Calibri"/>
          <w:sz w:val="24"/>
          <w:szCs w:val="24"/>
        </w:rPr>
        <w:t xml:space="preserve"> a enregistré une progression. </w:t>
      </w:r>
      <w:r w:rsidR="00560E2A">
        <w:rPr>
          <w:rFonts w:ascii="Calibri" w:hAnsi="Calibri" w:cs="Calibri"/>
          <w:sz w:val="24"/>
          <w:szCs w:val="24"/>
        </w:rPr>
        <w:t>De même, e</w:t>
      </w:r>
      <w:r w:rsidRPr="002B485E">
        <w:rPr>
          <w:rFonts w:ascii="Calibri" w:hAnsi="Calibri" w:cs="Calibri"/>
          <w:sz w:val="24"/>
          <w:szCs w:val="24"/>
        </w:rPr>
        <w:t>n glissement annuel, l</w:t>
      </w:r>
      <w:r w:rsidR="00AB4A41">
        <w:rPr>
          <w:rFonts w:ascii="Calibri" w:hAnsi="Calibri" w:cs="Calibri"/>
          <w:sz w:val="24"/>
          <w:szCs w:val="24"/>
        </w:rPr>
        <w:t>a</w:t>
      </w:r>
      <w:r w:rsidRPr="002B485E">
        <w:rPr>
          <w:rFonts w:ascii="Calibri" w:hAnsi="Calibri" w:cs="Calibri"/>
          <w:sz w:val="24"/>
          <w:szCs w:val="24"/>
        </w:rPr>
        <w:t xml:space="preserve"> production cumulée</w:t>
      </w:r>
      <w:r w:rsidR="00AB4A41">
        <w:rPr>
          <w:rFonts w:ascii="Calibri" w:hAnsi="Calibri" w:cs="Calibri"/>
          <w:sz w:val="24"/>
          <w:szCs w:val="24"/>
        </w:rPr>
        <w:t xml:space="preserve"> </w:t>
      </w:r>
      <w:r w:rsidRPr="002B485E">
        <w:rPr>
          <w:rFonts w:ascii="Calibri" w:hAnsi="Calibri" w:cs="Calibri"/>
          <w:sz w:val="24"/>
          <w:szCs w:val="24"/>
        </w:rPr>
        <w:t>du thé et</w:t>
      </w:r>
      <w:r w:rsidR="00AB4A41">
        <w:rPr>
          <w:rFonts w:ascii="Calibri" w:hAnsi="Calibri" w:cs="Calibri"/>
          <w:sz w:val="24"/>
          <w:szCs w:val="24"/>
        </w:rPr>
        <w:t xml:space="preserve"> celle </w:t>
      </w:r>
      <w:r w:rsidRPr="002B485E">
        <w:rPr>
          <w:rFonts w:ascii="Calibri" w:hAnsi="Calibri" w:cs="Calibri"/>
          <w:sz w:val="24"/>
          <w:szCs w:val="24"/>
        </w:rPr>
        <w:t xml:space="preserve">du café </w:t>
      </w:r>
      <w:r w:rsidR="00AB4A41">
        <w:rPr>
          <w:rFonts w:ascii="Calibri" w:hAnsi="Calibri" w:cs="Calibri"/>
          <w:sz w:val="24"/>
          <w:szCs w:val="24"/>
        </w:rPr>
        <w:t>ont</w:t>
      </w:r>
      <w:r w:rsidRPr="002B48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augmenté</w:t>
      </w:r>
      <w:r w:rsidR="002B485E" w:rsidRPr="00F166E5">
        <w:rPr>
          <w:rFonts w:ascii="Calibri" w:hAnsi="Calibri" w:cs="Calibri"/>
          <w:sz w:val="24"/>
          <w:szCs w:val="24"/>
        </w:rPr>
        <w:t>.</w:t>
      </w:r>
    </w:p>
    <w:p w:rsidR="002B485E" w:rsidRPr="00F166E5" w:rsidRDefault="002B485E" w:rsidP="00431C96">
      <w:pPr>
        <w:pStyle w:val="Titre2"/>
        <w:spacing w:after="120"/>
        <w:rPr>
          <w:rFonts w:ascii="Calibri" w:hAnsi="Calibri" w:cs="Calibri"/>
          <w:color w:val="00B0F0"/>
          <w:sz w:val="24"/>
        </w:rPr>
      </w:pPr>
      <w:bookmarkStart w:id="8" w:name="_Toc397332823"/>
      <w:bookmarkStart w:id="9" w:name="_Toc397332944"/>
      <w:r w:rsidRPr="00F166E5">
        <w:rPr>
          <w:rFonts w:ascii="Calibri" w:hAnsi="Calibri" w:cs="Calibri"/>
          <w:color w:val="00B0F0"/>
          <w:sz w:val="24"/>
        </w:rPr>
        <w:t>Indice de la production industrielle</w:t>
      </w:r>
      <w:bookmarkEnd w:id="7"/>
      <w:bookmarkEnd w:id="8"/>
      <w:bookmarkEnd w:id="9"/>
    </w:p>
    <w:p w:rsidR="00436A92" w:rsidRPr="002B485E" w:rsidRDefault="00436A92" w:rsidP="00431C9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bookmarkStart w:id="10" w:name="_Toc393361848"/>
      <w:r w:rsidRPr="002B485E">
        <w:rPr>
          <w:rFonts w:ascii="Calibri" w:hAnsi="Calibri" w:cs="Calibri"/>
          <w:sz w:val="24"/>
          <w:szCs w:val="24"/>
        </w:rPr>
        <w:t>L’activité industrielle a enregistré une amélioration par rapport au mois précédent. En effet, l’indice de la production industrielle a progressé de 2</w:t>
      </w:r>
      <w:r w:rsidR="00BC1127">
        <w:rPr>
          <w:rFonts w:ascii="Calibri" w:hAnsi="Calibri" w:cs="Calibri"/>
          <w:sz w:val="24"/>
          <w:szCs w:val="24"/>
        </w:rPr>
        <w:t>2</w:t>
      </w:r>
      <w:r w:rsidRPr="002B485E">
        <w:rPr>
          <w:rFonts w:ascii="Calibri" w:hAnsi="Calibri" w:cs="Calibri"/>
          <w:sz w:val="24"/>
          <w:szCs w:val="24"/>
        </w:rPr>
        <w:t>,</w:t>
      </w:r>
      <w:r w:rsidR="00BC1127">
        <w:rPr>
          <w:rFonts w:ascii="Calibri" w:hAnsi="Calibri" w:cs="Calibri"/>
          <w:sz w:val="24"/>
          <w:szCs w:val="24"/>
        </w:rPr>
        <w:t>5</w:t>
      </w:r>
      <w:r w:rsidRPr="002B485E">
        <w:rPr>
          <w:rFonts w:ascii="Calibri" w:hAnsi="Calibri" w:cs="Calibri"/>
          <w:sz w:val="24"/>
          <w:szCs w:val="24"/>
        </w:rPr>
        <w:t xml:space="preserve"> p.c. en liaison </w:t>
      </w:r>
      <w:r w:rsidR="00C52060">
        <w:rPr>
          <w:rFonts w:ascii="Calibri" w:hAnsi="Calibri" w:cs="Calibri"/>
          <w:sz w:val="24"/>
          <w:szCs w:val="24"/>
        </w:rPr>
        <w:t xml:space="preserve">avec </w:t>
      </w:r>
      <w:r w:rsidRPr="002B485E">
        <w:rPr>
          <w:rFonts w:ascii="Calibri" w:hAnsi="Calibri" w:cs="Calibri"/>
          <w:sz w:val="24"/>
          <w:szCs w:val="24"/>
        </w:rPr>
        <w:t xml:space="preserve">le démarrage de la campagne de production du sucre et de l’augmentation de la production de cigarettes (4,3 p.c.) qui ont contrebalancé la baisse de la production des boissons </w:t>
      </w:r>
      <w:r w:rsidR="00AB4A41">
        <w:rPr>
          <w:rFonts w:ascii="Calibri" w:hAnsi="Calibri" w:cs="Calibri"/>
          <w:sz w:val="24"/>
          <w:szCs w:val="24"/>
        </w:rPr>
        <w:t>de la BRARUDI</w:t>
      </w:r>
      <w:r w:rsidR="00C52060">
        <w:rPr>
          <w:rFonts w:ascii="Calibri" w:hAnsi="Calibri" w:cs="Calibri"/>
          <w:sz w:val="24"/>
          <w:szCs w:val="24"/>
        </w:rPr>
        <w:t xml:space="preserve"> </w:t>
      </w:r>
      <w:r w:rsidRPr="002B485E">
        <w:rPr>
          <w:rFonts w:ascii="Calibri" w:hAnsi="Calibri" w:cs="Calibri"/>
          <w:sz w:val="24"/>
          <w:szCs w:val="24"/>
        </w:rPr>
        <w:t xml:space="preserve">(-4,4 p.c.). </w:t>
      </w:r>
    </w:p>
    <w:p w:rsidR="00436A92" w:rsidRPr="002B485E" w:rsidRDefault="00436A92" w:rsidP="00431C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2B485E">
        <w:rPr>
          <w:rFonts w:ascii="Calibri" w:hAnsi="Calibri" w:cs="Calibri"/>
          <w:sz w:val="24"/>
          <w:szCs w:val="24"/>
        </w:rPr>
        <w:t>Par contre, en glissement annuel, l’indice a baissé de 4,</w:t>
      </w:r>
      <w:r w:rsidR="00194608">
        <w:rPr>
          <w:rFonts w:ascii="Calibri" w:hAnsi="Calibri" w:cs="Calibri"/>
          <w:sz w:val="24"/>
          <w:szCs w:val="24"/>
        </w:rPr>
        <w:t>3</w:t>
      </w:r>
      <w:r w:rsidRPr="002B485E">
        <w:rPr>
          <w:rFonts w:ascii="Calibri" w:hAnsi="Calibri" w:cs="Calibri"/>
          <w:sz w:val="24"/>
          <w:szCs w:val="24"/>
        </w:rPr>
        <w:t xml:space="preserve"> p.c</w:t>
      </w:r>
      <w:r>
        <w:rPr>
          <w:rFonts w:ascii="Calibri" w:hAnsi="Calibri" w:cs="Calibri"/>
          <w:sz w:val="24"/>
          <w:szCs w:val="24"/>
        </w:rPr>
        <w:t xml:space="preserve">., </w:t>
      </w:r>
      <w:r w:rsidRPr="002B485E">
        <w:rPr>
          <w:rFonts w:ascii="Calibri" w:hAnsi="Calibri" w:cs="Calibri"/>
          <w:sz w:val="24"/>
          <w:szCs w:val="24"/>
        </w:rPr>
        <w:t xml:space="preserve">suite principalement à la </w:t>
      </w:r>
      <w:r w:rsidR="00AB4A41">
        <w:rPr>
          <w:rFonts w:ascii="Calibri" w:hAnsi="Calibri" w:cs="Calibri"/>
          <w:sz w:val="24"/>
          <w:szCs w:val="24"/>
        </w:rPr>
        <w:t>diminution</w:t>
      </w:r>
      <w:r w:rsidRPr="002B485E">
        <w:rPr>
          <w:rFonts w:ascii="Calibri" w:hAnsi="Calibri" w:cs="Calibri"/>
          <w:sz w:val="24"/>
          <w:szCs w:val="24"/>
        </w:rPr>
        <w:t xml:space="preserve"> de la production de sucre </w:t>
      </w:r>
      <w:r w:rsidR="00472EF8">
        <w:rPr>
          <w:rFonts w:ascii="Calibri" w:hAnsi="Calibri" w:cs="Calibri"/>
          <w:sz w:val="24"/>
          <w:szCs w:val="24"/>
        </w:rPr>
        <w:t xml:space="preserve">          </w:t>
      </w:r>
      <w:r w:rsidRPr="002B485E">
        <w:rPr>
          <w:rFonts w:ascii="Calibri" w:hAnsi="Calibri" w:cs="Calibri"/>
          <w:sz w:val="24"/>
          <w:szCs w:val="24"/>
        </w:rPr>
        <w:t>(-32,3 p.c.).</w:t>
      </w:r>
    </w:p>
    <w:bookmarkEnd w:id="10"/>
    <w:p w:rsidR="00431C96" w:rsidRDefault="00431C96" w:rsidP="00431C9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431C96" w:rsidRDefault="00431C96" w:rsidP="00431C9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082ABF" w:rsidRDefault="00082ABF" w:rsidP="00431C9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082ABF" w:rsidRDefault="00082ABF" w:rsidP="00431C9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0B0617" w:rsidRPr="000B0617" w:rsidRDefault="000B0617" w:rsidP="00431C96">
      <w:pPr>
        <w:spacing w:after="120" w:line="240" w:lineRule="auto"/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0B0617">
        <w:rPr>
          <w:rFonts w:ascii="Calibri" w:hAnsi="Calibri" w:cs="Calibri"/>
          <w:b/>
          <w:color w:val="00B0F0"/>
          <w:sz w:val="24"/>
          <w:szCs w:val="24"/>
        </w:rPr>
        <w:lastRenderedPageBreak/>
        <w:t>Café</w:t>
      </w:r>
    </w:p>
    <w:p w:rsidR="002B485E" w:rsidRPr="00F166E5" w:rsidRDefault="00215097" w:rsidP="00431C96">
      <w:pPr>
        <w:spacing w:after="120" w:line="240" w:lineRule="auto"/>
        <w:jc w:val="both"/>
        <w:rPr>
          <w:rFonts w:ascii="Calibri" w:hAnsi="Calibri"/>
          <w:color w:val="00B0F0"/>
          <w:sz w:val="24"/>
          <w:szCs w:val="24"/>
        </w:rPr>
      </w:pPr>
      <w:r w:rsidRPr="002B485E">
        <w:rPr>
          <w:rFonts w:ascii="Calibri" w:hAnsi="Calibri" w:cs="Calibri"/>
          <w:sz w:val="24"/>
          <w:szCs w:val="24"/>
        </w:rPr>
        <w:t xml:space="preserve">A fin juin 2014, les apports de café Arabica en </w:t>
      </w:r>
      <w:proofErr w:type="spellStart"/>
      <w:r w:rsidRPr="002B485E">
        <w:rPr>
          <w:rFonts w:ascii="Calibri" w:hAnsi="Calibri" w:cs="Calibri"/>
          <w:sz w:val="24"/>
          <w:szCs w:val="24"/>
        </w:rPr>
        <w:t>parche</w:t>
      </w:r>
      <w:proofErr w:type="spellEnd"/>
      <w:r w:rsidRPr="002B485E">
        <w:rPr>
          <w:rFonts w:ascii="Calibri" w:hAnsi="Calibri" w:cs="Calibri"/>
          <w:sz w:val="24"/>
          <w:szCs w:val="24"/>
        </w:rPr>
        <w:t xml:space="preserve"> de la campagne 2014/2015 ont atteint 6.254 T alors que la campagne précédente n’avait pas encore enregistré d’apports de </w:t>
      </w:r>
      <w:proofErr w:type="spellStart"/>
      <w:r w:rsidRPr="002B485E">
        <w:rPr>
          <w:rFonts w:ascii="Calibri" w:hAnsi="Calibri" w:cs="Calibri"/>
          <w:sz w:val="24"/>
          <w:szCs w:val="24"/>
        </w:rPr>
        <w:t>parche</w:t>
      </w:r>
      <w:proofErr w:type="spellEnd"/>
      <w:r w:rsidRPr="002B485E">
        <w:rPr>
          <w:rFonts w:ascii="Calibri" w:hAnsi="Calibri" w:cs="Calibri"/>
          <w:sz w:val="24"/>
          <w:szCs w:val="24"/>
        </w:rPr>
        <w:t xml:space="preserve"> à </w:t>
      </w:r>
      <w:r>
        <w:rPr>
          <w:rFonts w:ascii="Calibri" w:hAnsi="Calibri" w:cs="Calibri"/>
          <w:sz w:val="24"/>
          <w:szCs w:val="24"/>
        </w:rPr>
        <w:t>la même</w:t>
      </w:r>
      <w:r w:rsidRPr="002B485E">
        <w:rPr>
          <w:rFonts w:ascii="Calibri" w:hAnsi="Calibri" w:cs="Calibri"/>
          <w:sz w:val="24"/>
          <w:szCs w:val="24"/>
        </w:rPr>
        <w:t xml:space="preserve"> période. Le volume total de café </w:t>
      </w:r>
      <w:proofErr w:type="spellStart"/>
      <w:r w:rsidRPr="002B485E">
        <w:rPr>
          <w:rFonts w:ascii="Calibri" w:hAnsi="Calibri" w:cs="Calibri"/>
          <w:sz w:val="24"/>
          <w:szCs w:val="24"/>
        </w:rPr>
        <w:t>parche</w:t>
      </w:r>
      <w:proofErr w:type="spellEnd"/>
      <w:r w:rsidRPr="002B485E">
        <w:rPr>
          <w:rFonts w:ascii="Calibri" w:hAnsi="Calibri" w:cs="Calibri"/>
          <w:sz w:val="24"/>
          <w:szCs w:val="24"/>
        </w:rPr>
        <w:t xml:space="preserve"> estimé par l’ARFIC pour cette campagne s’élève à </w:t>
      </w:r>
      <w:r w:rsidR="00D569C9">
        <w:rPr>
          <w:rFonts w:ascii="Calibri" w:hAnsi="Calibri" w:cs="Calibri"/>
          <w:sz w:val="24"/>
          <w:szCs w:val="24"/>
        </w:rPr>
        <w:t>27</w:t>
      </w:r>
      <w:r w:rsidRPr="002B485E">
        <w:rPr>
          <w:rFonts w:ascii="Calibri" w:hAnsi="Calibri" w:cs="Calibri"/>
          <w:sz w:val="24"/>
          <w:szCs w:val="24"/>
        </w:rPr>
        <w:t xml:space="preserve">.709 contre 14.134 T la campagne précédente, soit une hausse de </w:t>
      </w:r>
      <w:r w:rsidR="00A07EAA">
        <w:rPr>
          <w:rFonts w:ascii="Calibri" w:hAnsi="Calibri" w:cs="Calibri"/>
          <w:sz w:val="24"/>
          <w:szCs w:val="24"/>
        </w:rPr>
        <w:t>13</w:t>
      </w:r>
      <w:r w:rsidRPr="002B485E">
        <w:rPr>
          <w:rFonts w:ascii="Calibri" w:hAnsi="Calibri" w:cs="Calibri"/>
          <w:sz w:val="24"/>
          <w:szCs w:val="24"/>
        </w:rPr>
        <w:t>.575 T (</w:t>
      </w:r>
      <w:r w:rsidR="00A07EAA">
        <w:rPr>
          <w:rFonts w:ascii="Calibri" w:hAnsi="Calibri" w:cs="Calibri"/>
          <w:sz w:val="24"/>
          <w:szCs w:val="24"/>
        </w:rPr>
        <w:t>96</w:t>
      </w:r>
      <w:r w:rsidRPr="002B485E">
        <w:rPr>
          <w:rFonts w:ascii="Calibri" w:hAnsi="Calibri" w:cs="Calibri"/>
          <w:sz w:val="24"/>
          <w:szCs w:val="24"/>
        </w:rPr>
        <w:t xml:space="preserve"> p.c.)</w:t>
      </w:r>
      <w:r>
        <w:rPr>
          <w:rFonts w:ascii="Calibri" w:hAnsi="Calibri" w:cs="Calibri"/>
          <w:sz w:val="24"/>
          <w:szCs w:val="24"/>
        </w:rPr>
        <w:t>,</w:t>
      </w:r>
      <w:r w:rsidRPr="002B485E">
        <w:rPr>
          <w:rFonts w:ascii="Calibri" w:hAnsi="Calibri" w:cs="Calibri"/>
          <w:sz w:val="24"/>
          <w:szCs w:val="24"/>
        </w:rPr>
        <w:t xml:space="preserve"> </w:t>
      </w:r>
      <w:r w:rsidR="00AB4A41">
        <w:rPr>
          <w:rFonts w:ascii="Calibri" w:hAnsi="Calibri" w:cs="Calibri"/>
          <w:sz w:val="24"/>
          <w:szCs w:val="24"/>
        </w:rPr>
        <w:t>en liaison avec</w:t>
      </w:r>
      <w:r w:rsidRPr="002B485E">
        <w:rPr>
          <w:rFonts w:ascii="Calibri" w:hAnsi="Calibri" w:cs="Calibri"/>
          <w:sz w:val="24"/>
          <w:szCs w:val="24"/>
        </w:rPr>
        <w:t xml:space="preserve"> la cyclicité</w:t>
      </w:r>
      <w:r>
        <w:rPr>
          <w:rFonts w:ascii="Calibri" w:hAnsi="Calibri" w:cs="Calibri"/>
          <w:sz w:val="24"/>
          <w:szCs w:val="24"/>
        </w:rPr>
        <w:t xml:space="preserve"> de la production</w:t>
      </w:r>
      <w:r w:rsidRPr="002B485E">
        <w:rPr>
          <w:rFonts w:ascii="Calibri" w:hAnsi="Calibri" w:cs="Calibri"/>
          <w:sz w:val="24"/>
          <w:szCs w:val="24"/>
        </w:rPr>
        <w:t xml:space="preserve"> du caféier</w:t>
      </w:r>
      <w:r w:rsidR="002B485E" w:rsidRPr="00F166E5">
        <w:rPr>
          <w:rFonts w:ascii="Calibri" w:hAnsi="Calibri" w:cs="Calibri"/>
          <w:sz w:val="24"/>
          <w:szCs w:val="24"/>
        </w:rPr>
        <w:t xml:space="preserve">. </w:t>
      </w:r>
      <w:bookmarkStart w:id="11" w:name="_Toc393361849"/>
    </w:p>
    <w:p w:rsidR="002B485E" w:rsidRPr="00F166E5" w:rsidRDefault="002B485E" w:rsidP="00431C96">
      <w:pPr>
        <w:pStyle w:val="Titre2"/>
        <w:spacing w:after="120"/>
        <w:rPr>
          <w:rFonts w:ascii="Calibri" w:hAnsi="Calibri"/>
          <w:sz w:val="24"/>
        </w:rPr>
      </w:pPr>
      <w:bookmarkStart w:id="12" w:name="_Toc397332824"/>
      <w:bookmarkStart w:id="13" w:name="_Toc397332945"/>
      <w:r w:rsidRPr="00F166E5">
        <w:rPr>
          <w:rFonts w:ascii="Calibri" w:hAnsi="Calibri"/>
          <w:color w:val="00B0F0"/>
          <w:sz w:val="24"/>
        </w:rPr>
        <w:t>Thé</w:t>
      </w:r>
      <w:bookmarkEnd w:id="11"/>
      <w:bookmarkEnd w:id="12"/>
      <w:bookmarkEnd w:id="13"/>
    </w:p>
    <w:p w:rsidR="00215097" w:rsidRDefault="00215097" w:rsidP="00431C9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B485E">
        <w:rPr>
          <w:rFonts w:ascii="Calibri" w:hAnsi="Calibri" w:cs="Calibri"/>
          <w:sz w:val="24"/>
          <w:szCs w:val="24"/>
        </w:rPr>
        <w:t>La production de thé en feuilles vertes du mois de juin 2014 a chuté de 24,8 p .c. par rapport au mois précédent, revenant de 4.997 à 3.75</w:t>
      </w:r>
      <w:r w:rsidR="00BC1127">
        <w:rPr>
          <w:rFonts w:ascii="Calibri" w:hAnsi="Calibri" w:cs="Calibri"/>
          <w:sz w:val="24"/>
          <w:szCs w:val="24"/>
        </w:rPr>
        <w:t>8</w:t>
      </w:r>
      <w:r w:rsidRPr="002B485E">
        <w:rPr>
          <w:rFonts w:ascii="Calibri" w:hAnsi="Calibri" w:cs="Calibri"/>
          <w:sz w:val="24"/>
          <w:szCs w:val="24"/>
        </w:rPr>
        <w:t xml:space="preserve"> T suite à l’arrêt précoce des pluies. Cependant, la production cumulée du premier semestre 2014 a progressé de 8,6 p.c. par rapport à la même période de l’année précédente, passant de 27.104 à 29.422 T</w:t>
      </w:r>
      <w:r w:rsidR="00722D55">
        <w:rPr>
          <w:rFonts w:ascii="Calibri" w:hAnsi="Calibri" w:cs="Calibri"/>
          <w:sz w:val="24"/>
          <w:szCs w:val="24"/>
        </w:rPr>
        <w:t>.</w:t>
      </w:r>
    </w:p>
    <w:p w:rsidR="002B485E" w:rsidRPr="004847AB" w:rsidRDefault="002B485E" w:rsidP="00431C96">
      <w:pPr>
        <w:pStyle w:val="Titre1"/>
        <w:spacing w:after="120"/>
        <w:rPr>
          <w:rFonts w:ascii="Calibri" w:hAnsi="Calibri"/>
          <w:b/>
          <w:bCs/>
          <w:color w:val="00B0F0"/>
          <w:sz w:val="24"/>
          <w:u w:val="none"/>
        </w:rPr>
      </w:pPr>
      <w:bookmarkStart w:id="14" w:name="_Toc397332825"/>
      <w:bookmarkStart w:id="15" w:name="_Toc397332946"/>
      <w:r w:rsidRPr="004847AB">
        <w:rPr>
          <w:rFonts w:ascii="Calibri" w:hAnsi="Calibri"/>
          <w:b/>
          <w:color w:val="00B0F0"/>
          <w:sz w:val="24"/>
          <w:u w:val="none"/>
        </w:rPr>
        <w:t>III.</w:t>
      </w:r>
      <w:r w:rsidRPr="004847AB">
        <w:rPr>
          <w:rFonts w:ascii="Calibri" w:hAnsi="Calibri"/>
          <w:b/>
          <w:bCs/>
          <w:color w:val="00B0F0"/>
          <w:sz w:val="24"/>
          <w:u w:val="none"/>
        </w:rPr>
        <w:t>INDICE DES PRIX A LA CONSOMMATION</w:t>
      </w:r>
      <w:bookmarkEnd w:id="14"/>
      <w:bookmarkEnd w:id="15"/>
    </w:p>
    <w:p w:rsidR="00215097" w:rsidRPr="002B485E" w:rsidRDefault="00215097" w:rsidP="00431C96">
      <w:pPr>
        <w:spacing w:after="120" w:line="240" w:lineRule="auto"/>
        <w:jc w:val="both"/>
        <w:rPr>
          <w:sz w:val="24"/>
          <w:szCs w:val="24"/>
        </w:rPr>
      </w:pPr>
      <w:r w:rsidRPr="002B485E">
        <w:rPr>
          <w:sz w:val="24"/>
          <w:szCs w:val="24"/>
        </w:rPr>
        <w:t xml:space="preserve">L’indice des prix à la consommation à fin juin 2014 a </w:t>
      </w:r>
      <w:r>
        <w:rPr>
          <w:sz w:val="24"/>
          <w:szCs w:val="24"/>
        </w:rPr>
        <w:t xml:space="preserve">augmenté </w:t>
      </w:r>
      <w:r w:rsidRPr="002B485E">
        <w:rPr>
          <w:sz w:val="24"/>
          <w:szCs w:val="24"/>
        </w:rPr>
        <w:t xml:space="preserve"> de 3,3 p.c.</w:t>
      </w:r>
      <w:r w:rsidR="0060308D" w:rsidRPr="0060308D">
        <w:rPr>
          <w:sz w:val="24"/>
          <w:szCs w:val="24"/>
        </w:rPr>
        <w:t xml:space="preserve"> </w:t>
      </w:r>
      <w:r w:rsidR="0060308D" w:rsidRPr="002B485E">
        <w:rPr>
          <w:sz w:val="24"/>
          <w:szCs w:val="24"/>
        </w:rPr>
        <w:t>par rapport à la même période de 2013</w:t>
      </w:r>
      <w:r w:rsidR="00C52060">
        <w:rPr>
          <w:sz w:val="24"/>
          <w:szCs w:val="24"/>
        </w:rPr>
        <w:t>,</w:t>
      </w:r>
      <w:r w:rsidRPr="002B485E">
        <w:rPr>
          <w:sz w:val="24"/>
          <w:szCs w:val="24"/>
        </w:rPr>
        <w:t xml:space="preserve"> passant de 99,3 à 102,6. Cet </w:t>
      </w:r>
      <w:r>
        <w:rPr>
          <w:sz w:val="24"/>
          <w:szCs w:val="24"/>
        </w:rPr>
        <w:t xml:space="preserve">accroissement a principalement concerné </w:t>
      </w:r>
      <w:r w:rsidRPr="002B485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2B485E">
        <w:rPr>
          <w:sz w:val="24"/>
          <w:szCs w:val="24"/>
        </w:rPr>
        <w:t>es prix des produits non alimentaires (+4,6 p.c.)</w:t>
      </w:r>
      <w:r>
        <w:rPr>
          <w:sz w:val="24"/>
          <w:szCs w:val="24"/>
        </w:rPr>
        <w:t xml:space="preserve"> et, dans une moindre mesure, ceux </w:t>
      </w:r>
      <w:r w:rsidRPr="002B485E">
        <w:rPr>
          <w:sz w:val="24"/>
          <w:szCs w:val="24"/>
        </w:rPr>
        <w:t xml:space="preserve">des produits alimentaires (+1,7 p.c.) </w:t>
      </w:r>
    </w:p>
    <w:p w:rsidR="00215097" w:rsidRPr="002B485E" w:rsidRDefault="00215097" w:rsidP="00431C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hausse des prix </w:t>
      </w:r>
      <w:r w:rsidRPr="002B485E">
        <w:rPr>
          <w:sz w:val="24"/>
          <w:szCs w:val="24"/>
        </w:rPr>
        <w:t xml:space="preserve">du groupe hors alimentation </w:t>
      </w:r>
      <w:r>
        <w:rPr>
          <w:sz w:val="24"/>
          <w:szCs w:val="24"/>
        </w:rPr>
        <w:t xml:space="preserve">a porté sur </w:t>
      </w:r>
      <w:r w:rsidRPr="002B485E">
        <w:rPr>
          <w:sz w:val="24"/>
          <w:szCs w:val="24"/>
        </w:rPr>
        <w:t>les « articles d’habillement et articles chaussants » (+6,6 p.c. .), le « logement, eau, électricité,</w:t>
      </w:r>
      <w:r w:rsidR="00472EF8">
        <w:rPr>
          <w:sz w:val="24"/>
          <w:szCs w:val="24"/>
        </w:rPr>
        <w:t xml:space="preserve">        </w:t>
      </w:r>
      <w:r w:rsidRPr="002B485E">
        <w:rPr>
          <w:sz w:val="24"/>
          <w:szCs w:val="24"/>
        </w:rPr>
        <w:t xml:space="preserve"> gaz et autres combustibles »</w:t>
      </w:r>
      <w:r w:rsidR="00472EF8">
        <w:rPr>
          <w:sz w:val="24"/>
          <w:szCs w:val="24"/>
        </w:rPr>
        <w:t xml:space="preserve">                   </w:t>
      </w:r>
      <w:r w:rsidRPr="002B485E">
        <w:rPr>
          <w:sz w:val="24"/>
          <w:szCs w:val="24"/>
        </w:rPr>
        <w:t>(+4,1 p.c.), l’« ameublement,</w:t>
      </w:r>
      <w:r w:rsidR="00C52060">
        <w:rPr>
          <w:sz w:val="24"/>
          <w:szCs w:val="24"/>
        </w:rPr>
        <w:t xml:space="preserve"> </w:t>
      </w:r>
      <w:r w:rsidRPr="002B485E">
        <w:rPr>
          <w:sz w:val="24"/>
          <w:szCs w:val="24"/>
        </w:rPr>
        <w:t>équipement ménager et entretien courant de la maison »</w:t>
      </w:r>
      <w:r>
        <w:rPr>
          <w:sz w:val="24"/>
          <w:szCs w:val="24"/>
        </w:rPr>
        <w:t xml:space="preserve"> </w:t>
      </w:r>
      <w:r w:rsidRPr="002B485E">
        <w:rPr>
          <w:sz w:val="24"/>
          <w:szCs w:val="24"/>
        </w:rPr>
        <w:t xml:space="preserve">(+21,6 p.c.), la « santé » (+5,1 p.c.),le« transport »(+9,6 p.c.), « hôtellerie et restauration  »(+6,0 p.c.) </w:t>
      </w:r>
      <w:r>
        <w:rPr>
          <w:sz w:val="24"/>
          <w:szCs w:val="24"/>
        </w:rPr>
        <w:t xml:space="preserve">ainsi que sur </w:t>
      </w:r>
      <w:r w:rsidRPr="002B485E">
        <w:rPr>
          <w:sz w:val="24"/>
          <w:szCs w:val="24"/>
        </w:rPr>
        <w:t xml:space="preserve"> les « autres biens et services »(+8,9 p.c.).</w:t>
      </w:r>
    </w:p>
    <w:p w:rsidR="00722D55" w:rsidRDefault="00722D55" w:rsidP="00431C96">
      <w:pPr>
        <w:spacing w:line="240" w:lineRule="auto"/>
        <w:jc w:val="both"/>
        <w:rPr>
          <w:rFonts w:ascii="Calibri" w:hAnsi="Calibri"/>
          <w:b/>
          <w:color w:val="00B0F0"/>
          <w:sz w:val="24"/>
          <w:szCs w:val="24"/>
        </w:rPr>
      </w:pPr>
    </w:p>
    <w:p w:rsidR="00722D55" w:rsidRDefault="00722D55" w:rsidP="00431C96">
      <w:pPr>
        <w:spacing w:line="240" w:lineRule="auto"/>
        <w:jc w:val="both"/>
        <w:rPr>
          <w:rFonts w:ascii="Calibri" w:hAnsi="Calibri"/>
          <w:b/>
          <w:color w:val="00B0F0"/>
          <w:sz w:val="24"/>
          <w:szCs w:val="24"/>
        </w:rPr>
      </w:pPr>
    </w:p>
    <w:p w:rsidR="002B485E" w:rsidRPr="00F166E5" w:rsidRDefault="002B485E" w:rsidP="00722D55">
      <w:pPr>
        <w:spacing w:after="120" w:line="240" w:lineRule="auto"/>
        <w:jc w:val="both"/>
        <w:rPr>
          <w:rFonts w:ascii="Calibri" w:hAnsi="Calibri"/>
          <w:b/>
          <w:color w:val="00B0F0"/>
          <w:sz w:val="24"/>
          <w:szCs w:val="24"/>
        </w:rPr>
      </w:pPr>
      <w:r w:rsidRPr="00F166E5">
        <w:rPr>
          <w:rFonts w:ascii="Calibri" w:hAnsi="Calibri"/>
          <w:b/>
          <w:color w:val="00B0F0"/>
          <w:sz w:val="24"/>
          <w:szCs w:val="24"/>
        </w:rPr>
        <w:lastRenderedPageBreak/>
        <w:t>Indice des prix à la consommation (Base Déc. 2013=100)</w:t>
      </w:r>
    </w:p>
    <w:p w:rsidR="002B485E" w:rsidRPr="00F166E5" w:rsidRDefault="002B485E" w:rsidP="00431C9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166E5">
        <w:rPr>
          <w:rFonts w:ascii="Calibri" w:hAnsi="Calibri"/>
          <w:sz w:val="24"/>
          <w:szCs w:val="24"/>
        </w:rPr>
        <w:object w:dxaOrig="9049" w:dyaOrig="3728">
          <v:shape id="_x0000_i1025" type="#_x0000_t75" style="width:226.5pt;height:186.75pt" o:ole="">
            <v:imagedata r:id="rId13" o:title=""/>
          </v:shape>
          <o:OLEObject Type="Embed" ProgID="Excel.Sheet.8" ShapeID="_x0000_i1025" DrawAspect="Content" ObjectID="_1471331428" r:id="rId14"/>
        </w:object>
      </w:r>
    </w:p>
    <w:p w:rsidR="00215097" w:rsidRDefault="00215097" w:rsidP="00431C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D’un mois à l’autre</w:t>
      </w:r>
      <w:r w:rsidRPr="002B485E">
        <w:rPr>
          <w:sz w:val="24"/>
          <w:szCs w:val="24"/>
        </w:rPr>
        <w:t>,</w:t>
      </w:r>
      <w:r>
        <w:rPr>
          <w:sz w:val="24"/>
          <w:szCs w:val="24"/>
        </w:rPr>
        <w:t xml:space="preserve"> l’indice des prix à la consommation s’est établi à 102,</w:t>
      </w:r>
      <w:r w:rsidR="0060308D">
        <w:rPr>
          <w:sz w:val="24"/>
          <w:szCs w:val="24"/>
        </w:rPr>
        <w:t>6</w:t>
      </w:r>
      <w:r>
        <w:rPr>
          <w:sz w:val="24"/>
          <w:szCs w:val="24"/>
        </w:rPr>
        <w:t xml:space="preserve"> contre 102,5, soit une légère </w:t>
      </w:r>
      <w:r w:rsidRPr="002B485E">
        <w:rPr>
          <w:sz w:val="24"/>
          <w:szCs w:val="24"/>
        </w:rPr>
        <w:t>inflation de</w:t>
      </w:r>
      <w:r>
        <w:rPr>
          <w:sz w:val="24"/>
          <w:szCs w:val="24"/>
        </w:rPr>
        <w:t xml:space="preserve"> </w:t>
      </w:r>
      <w:r w:rsidRPr="002B485E">
        <w:rPr>
          <w:sz w:val="24"/>
          <w:szCs w:val="24"/>
        </w:rPr>
        <w:t>0,</w:t>
      </w:r>
      <w:r w:rsidR="008C2694">
        <w:rPr>
          <w:sz w:val="24"/>
          <w:szCs w:val="24"/>
        </w:rPr>
        <w:t>1</w:t>
      </w:r>
      <w:r w:rsidRPr="002B485E">
        <w:rPr>
          <w:sz w:val="24"/>
          <w:szCs w:val="24"/>
        </w:rPr>
        <w:t xml:space="preserve"> p.c. </w:t>
      </w:r>
    </w:p>
    <w:p w:rsidR="002B485E" w:rsidRPr="008C2694" w:rsidRDefault="002B485E" w:rsidP="00431C96">
      <w:pPr>
        <w:pStyle w:val="Titre1"/>
        <w:spacing w:after="120"/>
        <w:rPr>
          <w:rFonts w:ascii="Calibri" w:hAnsi="Calibri"/>
          <w:b/>
          <w:color w:val="00B0F0"/>
          <w:sz w:val="24"/>
          <w:u w:val="none"/>
        </w:rPr>
      </w:pPr>
      <w:bookmarkStart w:id="16" w:name="_Toc397332826"/>
      <w:bookmarkStart w:id="17" w:name="_Toc397332947"/>
      <w:r w:rsidRPr="008C2694">
        <w:rPr>
          <w:rFonts w:ascii="Calibri" w:hAnsi="Calibri"/>
          <w:b/>
          <w:color w:val="00B0F0"/>
          <w:sz w:val="24"/>
          <w:u w:val="none"/>
        </w:rPr>
        <w:t>IV. FINANCES PUBLIQUES</w:t>
      </w:r>
      <w:bookmarkEnd w:id="16"/>
      <w:bookmarkEnd w:id="17"/>
    </w:p>
    <w:p w:rsidR="002B485E" w:rsidRPr="00F166E5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B485E">
        <w:rPr>
          <w:rFonts w:ascii="Calibri" w:hAnsi="Calibri"/>
          <w:sz w:val="24"/>
          <w:szCs w:val="24"/>
        </w:rPr>
        <w:t xml:space="preserve">A la fin du premier semestre de l’année 2014, la situation des finances publiques s’est encore une fois détériorée. L’évolution des dépenses publiques a largement dépassé l’accroissement des recettes et la dette publique s’est accrue, en particulier celle en rapport avec les bons et obligations </w:t>
      </w:r>
      <w:r>
        <w:rPr>
          <w:rFonts w:ascii="Calibri" w:hAnsi="Calibri"/>
          <w:sz w:val="24"/>
          <w:szCs w:val="24"/>
        </w:rPr>
        <w:t xml:space="preserve">du Trésor </w:t>
      </w:r>
      <w:r w:rsidRPr="002B485E">
        <w:rPr>
          <w:rFonts w:ascii="Calibri" w:hAnsi="Calibri"/>
          <w:sz w:val="24"/>
          <w:szCs w:val="24"/>
        </w:rPr>
        <w:t xml:space="preserve">et les avances </w:t>
      </w:r>
      <w:r>
        <w:rPr>
          <w:rFonts w:ascii="Calibri" w:hAnsi="Calibri"/>
          <w:sz w:val="24"/>
          <w:szCs w:val="24"/>
        </w:rPr>
        <w:t>de</w:t>
      </w:r>
      <w:r w:rsidRPr="002B485E">
        <w:rPr>
          <w:rFonts w:ascii="Calibri" w:hAnsi="Calibri"/>
          <w:sz w:val="24"/>
          <w:szCs w:val="24"/>
        </w:rPr>
        <w:t xml:space="preserve"> la Banque Centrale</w:t>
      </w:r>
      <w:r w:rsidR="002B485E" w:rsidRPr="00F166E5">
        <w:rPr>
          <w:rFonts w:ascii="Calibri" w:hAnsi="Calibri"/>
          <w:sz w:val="24"/>
          <w:szCs w:val="24"/>
        </w:rPr>
        <w:t>.</w:t>
      </w:r>
    </w:p>
    <w:p w:rsidR="002B485E" w:rsidRPr="00F166E5" w:rsidRDefault="002B485E" w:rsidP="00431C96">
      <w:pPr>
        <w:pStyle w:val="Titre2"/>
        <w:spacing w:after="120"/>
        <w:rPr>
          <w:rFonts w:ascii="Calibri" w:hAnsi="Calibri"/>
          <w:b w:val="0"/>
          <w:color w:val="00B0F0"/>
          <w:sz w:val="24"/>
        </w:rPr>
      </w:pPr>
      <w:bookmarkStart w:id="18" w:name="_Toc397332827"/>
      <w:bookmarkStart w:id="19" w:name="_Toc397332948"/>
      <w:r w:rsidRPr="00F166E5">
        <w:rPr>
          <w:rFonts w:ascii="Calibri" w:hAnsi="Calibri"/>
          <w:color w:val="00B0F0"/>
          <w:sz w:val="24"/>
        </w:rPr>
        <w:t>Recettes</w:t>
      </w:r>
      <w:bookmarkEnd w:id="18"/>
      <w:bookmarkEnd w:id="19"/>
      <w:r w:rsidRPr="00F166E5">
        <w:rPr>
          <w:rFonts w:ascii="Calibri" w:hAnsi="Calibri"/>
          <w:color w:val="00B0F0"/>
          <w:sz w:val="24"/>
        </w:rPr>
        <w:t xml:space="preserve"> </w:t>
      </w:r>
    </w:p>
    <w:p w:rsidR="002106C1" w:rsidRPr="002B485E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B485E">
        <w:rPr>
          <w:rFonts w:ascii="Calibri" w:hAnsi="Calibri"/>
          <w:sz w:val="24"/>
          <w:szCs w:val="24"/>
        </w:rPr>
        <w:t>A fin Juin 2014, les recettes du budget consolidé de l’Etat se sont établies à 301.953,3</w:t>
      </w:r>
      <w:r w:rsidRPr="002B485E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Pr="002B485E">
        <w:rPr>
          <w:rFonts w:ascii="Calibri" w:hAnsi="Calibri"/>
          <w:sz w:val="24"/>
          <w:szCs w:val="24"/>
        </w:rPr>
        <w:t>contre 27</w:t>
      </w:r>
      <w:r w:rsidR="00271B5B">
        <w:rPr>
          <w:rFonts w:ascii="Calibri" w:hAnsi="Calibri"/>
          <w:sz w:val="24"/>
          <w:szCs w:val="24"/>
        </w:rPr>
        <w:t>2.5</w:t>
      </w:r>
      <w:r w:rsidRPr="002B485E">
        <w:rPr>
          <w:rFonts w:ascii="Calibri" w:hAnsi="Calibri"/>
          <w:sz w:val="24"/>
          <w:szCs w:val="24"/>
        </w:rPr>
        <w:t>87,2 MBIF à la période correspondante de l’année précédente, soit une augmentation de 2</w:t>
      </w:r>
      <w:r w:rsidR="00271B5B">
        <w:rPr>
          <w:rFonts w:ascii="Calibri" w:hAnsi="Calibri"/>
          <w:sz w:val="24"/>
          <w:szCs w:val="24"/>
        </w:rPr>
        <w:t>9</w:t>
      </w:r>
      <w:r w:rsidRPr="002B485E">
        <w:rPr>
          <w:rFonts w:ascii="Calibri" w:hAnsi="Calibri"/>
          <w:sz w:val="24"/>
          <w:szCs w:val="24"/>
        </w:rPr>
        <w:t>.</w:t>
      </w:r>
      <w:r w:rsidR="00271B5B">
        <w:rPr>
          <w:rFonts w:ascii="Calibri" w:hAnsi="Calibri"/>
          <w:sz w:val="24"/>
          <w:szCs w:val="24"/>
        </w:rPr>
        <w:t>3</w:t>
      </w:r>
      <w:r w:rsidRPr="002B485E">
        <w:rPr>
          <w:rFonts w:ascii="Calibri" w:hAnsi="Calibri"/>
          <w:sz w:val="24"/>
          <w:szCs w:val="24"/>
        </w:rPr>
        <w:t>66,1 MBIF</w:t>
      </w:r>
      <w:r>
        <w:rPr>
          <w:rFonts w:ascii="Calibri" w:hAnsi="Calibri"/>
          <w:sz w:val="24"/>
          <w:szCs w:val="24"/>
        </w:rPr>
        <w:t xml:space="preserve"> (</w:t>
      </w:r>
      <w:r w:rsidRPr="002B485E">
        <w:rPr>
          <w:rFonts w:ascii="Calibri" w:hAnsi="Calibri"/>
          <w:sz w:val="24"/>
          <w:szCs w:val="24"/>
        </w:rPr>
        <w:t>10,</w:t>
      </w:r>
      <w:r w:rsidR="00271B5B">
        <w:rPr>
          <w:rFonts w:ascii="Calibri" w:hAnsi="Calibri"/>
          <w:sz w:val="24"/>
          <w:szCs w:val="24"/>
        </w:rPr>
        <w:t>8</w:t>
      </w:r>
      <w:r w:rsidRPr="002B485E">
        <w:rPr>
          <w:rFonts w:ascii="Calibri" w:hAnsi="Calibri"/>
          <w:sz w:val="24"/>
          <w:szCs w:val="24"/>
        </w:rPr>
        <w:t xml:space="preserve"> p.c</w:t>
      </w:r>
      <w:r>
        <w:rPr>
          <w:rFonts w:ascii="Calibri" w:hAnsi="Calibri"/>
          <w:sz w:val="24"/>
          <w:szCs w:val="24"/>
        </w:rPr>
        <w:t>.)</w:t>
      </w:r>
      <w:r w:rsidRPr="002B485E">
        <w:rPr>
          <w:rFonts w:ascii="Calibri" w:hAnsi="Calibri"/>
          <w:sz w:val="24"/>
          <w:szCs w:val="24"/>
        </w:rPr>
        <w:t>. Cette hausse est liée à l’accroissement des recettes fiscales (+3.821,4 MBIF), non fiscales (22.668,2 MBIF) et exceptionnelles (</w:t>
      </w:r>
      <w:r w:rsidR="00271B5B">
        <w:rPr>
          <w:rFonts w:ascii="Calibri" w:hAnsi="Calibri"/>
          <w:sz w:val="24"/>
          <w:szCs w:val="24"/>
        </w:rPr>
        <w:t>2</w:t>
      </w:r>
      <w:r w:rsidRPr="002B485E">
        <w:rPr>
          <w:rFonts w:ascii="Calibri" w:hAnsi="Calibri"/>
          <w:sz w:val="24"/>
          <w:szCs w:val="24"/>
        </w:rPr>
        <w:t>.</w:t>
      </w:r>
      <w:r w:rsidR="00271B5B">
        <w:rPr>
          <w:rFonts w:ascii="Calibri" w:hAnsi="Calibri"/>
          <w:sz w:val="24"/>
          <w:szCs w:val="24"/>
        </w:rPr>
        <w:t>876</w:t>
      </w:r>
      <w:r w:rsidRPr="002B485E">
        <w:rPr>
          <w:rFonts w:ascii="Calibri" w:hAnsi="Calibri"/>
          <w:sz w:val="24"/>
          <w:szCs w:val="24"/>
        </w:rPr>
        <w:t>,</w:t>
      </w:r>
      <w:r w:rsidR="00271B5B">
        <w:rPr>
          <w:rFonts w:ascii="Calibri" w:hAnsi="Calibri"/>
          <w:sz w:val="24"/>
          <w:szCs w:val="24"/>
        </w:rPr>
        <w:t>5</w:t>
      </w:r>
      <w:r w:rsidRPr="002B485E">
        <w:rPr>
          <w:rFonts w:ascii="Calibri" w:hAnsi="Calibri"/>
          <w:sz w:val="24"/>
          <w:szCs w:val="24"/>
        </w:rPr>
        <w:t xml:space="preserve"> MBIF). </w:t>
      </w:r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B485E">
        <w:rPr>
          <w:rFonts w:ascii="Calibri" w:hAnsi="Calibri"/>
          <w:sz w:val="24"/>
          <w:szCs w:val="24"/>
        </w:rPr>
        <w:t>Comparées à celles du mois précédent, les recettes de juin 2014 ont progressé de 14.339,0 MBIF</w:t>
      </w:r>
      <w:r>
        <w:rPr>
          <w:rFonts w:ascii="Calibri" w:hAnsi="Calibri"/>
          <w:sz w:val="24"/>
          <w:szCs w:val="24"/>
        </w:rPr>
        <w:t>,</w:t>
      </w:r>
      <w:r w:rsidRPr="002B485E">
        <w:rPr>
          <w:rFonts w:ascii="Calibri" w:hAnsi="Calibri"/>
          <w:sz w:val="24"/>
          <w:szCs w:val="24"/>
        </w:rPr>
        <w:t xml:space="preserve"> passant de 41.049,6 à 55.388,6 MBIF</w:t>
      </w:r>
      <w:r>
        <w:rPr>
          <w:rFonts w:ascii="Calibri" w:hAnsi="Calibri"/>
          <w:sz w:val="24"/>
          <w:szCs w:val="24"/>
        </w:rPr>
        <w:t>,</w:t>
      </w:r>
      <w:r w:rsidRPr="002B485E">
        <w:rPr>
          <w:rFonts w:ascii="Calibri" w:hAnsi="Calibri"/>
          <w:sz w:val="24"/>
          <w:szCs w:val="24"/>
        </w:rPr>
        <w:t xml:space="preserve"> en rapport avec </w:t>
      </w:r>
      <w:r>
        <w:rPr>
          <w:rFonts w:ascii="Calibri" w:hAnsi="Calibri"/>
          <w:sz w:val="24"/>
          <w:szCs w:val="24"/>
        </w:rPr>
        <w:t>l’augmentation</w:t>
      </w:r>
      <w:r w:rsidRPr="002B485E">
        <w:rPr>
          <w:rFonts w:ascii="Calibri" w:hAnsi="Calibri"/>
          <w:sz w:val="24"/>
          <w:szCs w:val="24"/>
        </w:rPr>
        <w:t xml:space="preserve"> des rece</w:t>
      </w:r>
      <w:r w:rsidRPr="005214F0">
        <w:rPr>
          <w:rFonts w:ascii="Calibri" w:hAnsi="Calibri"/>
          <w:sz w:val="24"/>
          <w:szCs w:val="24"/>
        </w:rPr>
        <w:t>ttes fiscales (+13.805,0 MBIF), non fiscales (+340,5 MBIF) et exceptionnelles (+193,4 MBIF).</w:t>
      </w:r>
    </w:p>
    <w:p w:rsidR="002B485E" w:rsidRPr="00F166E5" w:rsidRDefault="002B485E" w:rsidP="00431C96">
      <w:pPr>
        <w:pStyle w:val="Titre2"/>
        <w:spacing w:after="120"/>
        <w:rPr>
          <w:rFonts w:ascii="Calibri" w:hAnsi="Calibri"/>
          <w:b w:val="0"/>
          <w:color w:val="00B0F0"/>
          <w:sz w:val="24"/>
        </w:rPr>
      </w:pPr>
      <w:bookmarkStart w:id="20" w:name="_Toc397332828"/>
      <w:bookmarkStart w:id="21" w:name="_Toc397332949"/>
      <w:r w:rsidRPr="00F166E5">
        <w:rPr>
          <w:rFonts w:ascii="Calibri" w:hAnsi="Calibri"/>
          <w:color w:val="00B0F0"/>
          <w:sz w:val="24"/>
        </w:rPr>
        <w:lastRenderedPageBreak/>
        <w:t>Dépenses</w:t>
      </w:r>
      <w:bookmarkEnd w:id="20"/>
      <w:bookmarkEnd w:id="21"/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>Les dépenses totales engagées au cours du premier semestre 2014 se sont accru</w:t>
      </w:r>
      <w:r w:rsidR="0060308D">
        <w:rPr>
          <w:rFonts w:ascii="Calibri" w:hAnsi="Calibri"/>
          <w:sz w:val="24"/>
          <w:szCs w:val="24"/>
        </w:rPr>
        <w:t>es</w:t>
      </w:r>
      <w:r w:rsidRPr="005214F0">
        <w:rPr>
          <w:rFonts w:ascii="Calibri" w:hAnsi="Calibri"/>
          <w:sz w:val="24"/>
          <w:szCs w:val="24"/>
        </w:rPr>
        <w:t xml:space="preserve"> de 27,8 p.c. (527.974,0 contre 413.090,0 MBIF) par rapport à la période correspondante de l’année 2013</w:t>
      </w:r>
      <w:r>
        <w:rPr>
          <w:rFonts w:ascii="Calibri" w:hAnsi="Calibri"/>
        </w:rPr>
        <w:t>.</w:t>
      </w:r>
      <w:r w:rsidRPr="005214F0">
        <w:rPr>
          <w:rFonts w:ascii="Calibri" w:hAnsi="Calibri"/>
          <w:sz w:val="24"/>
          <w:szCs w:val="24"/>
        </w:rPr>
        <w:t xml:space="preserve"> </w:t>
      </w:r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 xml:space="preserve">Les dépenses de personnel cumulées se sont fixées à 143.594,6 contre 145.378,9 MBIF à la fin de la période correspondante de 2013, </w:t>
      </w:r>
      <w:r>
        <w:rPr>
          <w:rFonts w:ascii="Calibri" w:hAnsi="Calibri"/>
          <w:sz w:val="24"/>
          <w:szCs w:val="24"/>
        </w:rPr>
        <w:t>soit</w:t>
      </w:r>
      <w:r w:rsidRPr="005214F0">
        <w:rPr>
          <w:rFonts w:ascii="Calibri" w:hAnsi="Calibri"/>
          <w:sz w:val="24"/>
          <w:szCs w:val="24"/>
        </w:rPr>
        <w:t xml:space="preserve"> une baisse de 1.784,3 MBIF</w:t>
      </w:r>
      <w:r w:rsidR="00FD780A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(-1,2 p.c.)</w:t>
      </w:r>
      <w:r w:rsidRPr="005214F0">
        <w:rPr>
          <w:rFonts w:ascii="Calibri" w:hAnsi="Calibri"/>
          <w:sz w:val="24"/>
          <w:szCs w:val="24"/>
        </w:rPr>
        <w:t>.</w:t>
      </w:r>
    </w:p>
    <w:p w:rsidR="002B485E" w:rsidRPr="00F166E5" w:rsidRDefault="002B485E" w:rsidP="00431C96">
      <w:pPr>
        <w:pStyle w:val="Titre2"/>
        <w:spacing w:after="120"/>
        <w:rPr>
          <w:rFonts w:ascii="Calibri" w:hAnsi="Calibri"/>
          <w:b w:val="0"/>
          <w:color w:val="00B0F0"/>
          <w:sz w:val="24"/>
        </w:rPr>
      </w:pPr>
      <w:bookmarkStart w:id="22" w:name="_Toc397332829"/>
      <w:bookmarkStart w:id="23" w:name="_Toc397332950"/>
      <w:r w:rsidRPr="00F166E5">
        <w:rPr>
          <w:rFonts w:ascii="Calibri" w:hAnsi="Calibri"/>
          <w:color w:val="00B0F0"/>
          <w:sz w:val="24"/>
        </w:rPr>
        <w:t>Dette publique</w:t>
      </w:r>
      <w:bookmarkEnd w:id="22"/>
      <w:bookmarkEnd w:id="23"/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49575E">
        <w:rPr>
          <w:rFonts w:ascii="Calibri" w:hAnsi="Calibri"/>
          <w:sz w:val="24"/>
          <w:szCs w:val="24"/>
        </w:rPr>
        <w:t xml:space="preserve">L’encours de la dette publique a progressé de 14 ,8 p.c. </w:t>
      </w:r>
      <w:r w:rsidR="00BB0DE7">
        <w:rPr>
          <w:rFonts w:ascii="Calibri" w:hAnsi="Calibri"/>
          <w:sz w:val="24"/>
          <w:szCs w:val="24"/>
        </w:rPr>
        <w:t>par rapport à la période correspondante de 2013</w:t>
      </w:r>
      <w:r w:rsidRPr="0049575E">
        <w:rPr>
          <w:rFonts w:ascii="Calibri" w:hAnsi="Calibri"/>
          <w:sz w:val="24"/>
          <w:szCs w:val="24"/>
        </w:rPr>
        <w:t>, se fixant à 1.340.066,2 contre 1.167.650,</w:t>
      </w:r>
      <w:r w:rsidR="006A7756">
        <w:rPr>
          <w:rFonts w:ascii="Calibri" w:hAnsi="Calibri"/>
          <w:sz w:val="24"/>
          <w:szCs w:val="24"/>
        </w:rPr>
        <w:t>8</w:t>
      </w:r>
      <w:r w:rsidRPr="0049575E">
        <w:rPr>
          <w:rFonts w:ascii="Calibri" w:hAnsi="Calibri"/>
          <w:sz w:val="24"/>
          <w:szCs w:val="24"/>
        </w:rPr>
        <w:t xml:space="preserve"> MBIF. Cette augmentation a porté</w:t>
      </w:r>
      <w:r w:rsidR="00BB0DE7">
        <w:rPr>
          <w:rFonts w:ascii="Calibri" w:hAnsi="Calibri"/>
          <w:sz w:val="24"/>
          <w:szCs w:val="24"/>
        </w:rPr>
        <w:t xml:space="preserve"> </w:t>
      </w:r>
      <w:r w:rsidRPr="0049575E">
        <w:rPr>
          <w:rFonts w:ascii="Calibri" w:hAnsi="Calibri"/>
          <w:sz w:val="24"/>
          <w:szCs w:val="24"/>
        </w:rPr>
        <w:t>sur la dette intérieure (+20 p.c.)</w:t>
      </w:r>
      <w:r>
        <w:rPr>
          <w:rFonts w:ascii="Calibri" w:hAnsi="Calibri"/>
          <w:sz w:val="24"/>
          <w:szCs w:val="24"/>
        </w:rPr>
        <w:t xml:space="preserve"> </w:t>
      </w:r>
      <w:r w:rsidRPr="0049575E">
        <w:rPr>
          <w:rFonts w:ascii="Calibri" w:hAnsi="Calibri"/>
          <w:sz w:val="24"/>
          <w:szCs w:val="24"/>
        </w:rPr>
        <w:t xml:space="preserve">et extérieure </w:t>
      </w:r>
      <w:r w:rsidR="00FD780A">
        <w:rPr>
          <w:rFonts w:ascii="Calibri" w:hAnsi="Calibri"/>
          <w:sz w:val="24"/>
          <w:szCs w:val="24"/>
        </w:rPr>
        <w:t xml:space="preserve">          </w:t>
      </w:r>
      <w:r w:rsidRPr="0049575E">
        <w:rPr>
          <w:rFonts w:ascii="Calibri" w:hAnsi="Calibri"/>
          <w:sz w:val="24"/>
          <w:szCs w:val="24"/>
        </w:rPr>
        <w:t>(+9,9</w:t>
      </w:r>
      <w:r>
        <w:rPr>
          <w:rFonts w:ascii="Calibri" w:hAnsi="Calibri"/>
          <w:sz w:val="24"/>
          <w:szCs w:val="24"/>
        </w:rPr>
        <w:t xml:space="preserve"> p.c.</w:t>
      </w:r>
      <w:r w:rsidRPr="005214F0">
        <w:rPr>
          <w:rFonts w:ascii="Calibri" w:hAnsi="Calibri"/>
          <w:sz w:val="24"/>
          <w:szCs w:val="24"/>
        </w:rPr>
        <w:t xml:space="preserve">). </w:t>
      </w:r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>D’un mois à l’autre, l’encours de la dette publique</w:t>
      </w:r>
      <w:r w:rsidR="006A7756">
        <w:rPr>
          <w:rFonts w:ascii="Calibri" w:hAnsi="Calibri"/>
          <w:sz w:val="24"/>
          <w:szCs w:val="24"/>
        </w:rPr>
        <w:t xml:space="preserve"> (1</w:t>
      </w:r>
      <w:r w:rsidR="00E95B3D">
        <w:rPr>
          <w:rFonts w:ascii="Calibri" w:hAnsi="Calibri"/>
          <w:sz w:val="24"/>
          <w:szCs w:val="24"/>
        </w:rPr>
        <w:t>.</w:t>
      </w:r>
      <w:r w:rsidR="006A7756">
        <w:rPr>
          <w:rFonts w:ascii="Calibri" w:hAnsi="Calibri"/>
          <w:sz w:val="24"/>
          <w:szCs w:val="24"/>
        </w:rPr>
        <w:t>340.066,2 contre 1</w:t>
      </w:r>
      <w:r w:rsidR="00E95B3D">
        <w:rPr>
          <w:rFonts w:ascii="Calibri" w:hAnsi="Calibri"/>
          <w:sz w:val="24"/>
          <w:szCs w:val="24"/>
        </w:rPr>
        <w:t>.</w:t>
      </w:r>
      <w:r w:rsidR="006A7756">
        <w:rPr>
          <w:rFonts w:ascii="Calibri" w:hAnsi="Calibri"/>
          <w:sz w:val="24"/>
          <w:szCs w:val="24"/>
        </w:rPr>
        <w:t xml:space="preserve">315.391,5 MBIF) </w:t>
      </w:r>
      <w:r w:rsidRPr="005214F0">
        <w:rPr>
          <w:rFonts w:ascii="Calibri" w:hAnsi="Calibri"/>
          <w:sz w:val="24"/>
          <w:szCs w:val="24"/>
        </w:rPr>
        <w:t xml:space="preserve">s’est accru de </w:t>
      </w:r>
      <w:r>
        <w:rPr>
          <w:rFonts w:ascii="Calibri" w:hAnsi="Calibri"/>
          <w:sz w:val="24"/>
          <w:szCs w:val="24"/>
        </w:rPr>
        <w:t>1,9 p.c.,</w:t>
      </w:r>
      <w:r w:rsidRPr="005214F0">
        <w:rPr>
          <w:rFonts w:ascii="Calibri" w:hAnsi="Calibri"/>
          <w:sz w:val="24"/>
          <w:szCs w:val="24"/>
        </w:rPr>
        <w:t xml:space="preserve"> suite</w:t>
      </w:r>
      <w:r w:rsidR="00C52060">
        <w:rPr>
          <w:rFonts w:ascii="Calibri" w:hAnsi="Calibri"/>
          <w:sz w:val="24"/>
          <w:szCs w:val="24"/>
        </w:rPr>
        <w:t xml:space="preserve"> principalement</w:t>
      </w:r>
      <w:r w:rsidRPr="005214F0">
        <w:rPr>
          <w:rFonts w:ascii="Calibri" w:hAnsi="Calibri"/>
          <w:sz w:val="24"/>
          <w:szCs w:val="24"/>
        </w:rPr>
        <w:t xml:space="preserve"> </w:t>
      </w:r>
      <w:r w:rsidR="00C52060">
        <w:rPr>
          <w:rFonts w:ascii="Calibri" w:hAnsi="Calibri"/>
          <w:sz w:val="24"/>
          <w:szCs w:val="24"/>
        </w:rPr>
        <w:t>à l’augmentation de</w:t>
      </w:r>
      <w:r w:rsidRPr="005214F0">
        <w:rPr>
          <w:rFonts w:ascii="Calibri" w:hAnsi="Calibri"/>
          <w:sz w:val="24"/>
          <w:szCs w:val="24"/>
        </w:rPr>
        <w:t xml:space="preserve"> la dette intérieure</w:t>
      </w:r>
      <w:r w:rsidR="00E95B3D">
        <w:rPr>
          <w:rFonts w:ascii="Calibri" w:hAnsi="Calibri"/>
          <w:sz w:val="24"/>
          <w:szCs w:val="24"/>
        </w:rPr>
        <w:t xml:space="preserve"> </w:t>
      </w:r>
      <w:r w:rsidR="006A7756">
        <w:rPr>
          <w:rFonts w:ascii="Calibri" w:hAnsi="Calibri"/>
          <w:sz w:val="24"/>
          <w:szCs w:val="24"/>
        </w:rPr>
        <w:t>(672.246,8 contre 649.385,1 MBIF)</w:t>
      </w:r>
      <w:r w:rsidR="00E95B3D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>4,3 p.c.</w:t>
      </w:r>
      <w:r w:rsidRPr="005214F0">
        <w:rPr>
          <w:rFonts w:ascii="Calibri" w:hAnsi="Calibri"/>
          <w:sz w:val="24"/>
          <w:szCs w:val="24"/>
        </w:rPr>
        <w:t xml:space="preserve"> et</w:t>
      </w:r>
      <w:r>
        <w:rPr>
          <w:rFonts w:ascii="Calibri" w:hAnsi="Calibri"/>
          <w:sz w:val="24"/>
          <w:szCs w:val="24"/>
        </w:rPr>
        <w:t xml:space="preserve">, dans une moindre mesure, </w:t>
      </w:r>
      <w:r w:rsidR="00C52060"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</w:rPr>
        <w:t xml:space="preserve"> la dette </w:t>
      </w:r>
      <w:r w:rsidRPr="005214F0">
        <w:rPr>
          <w:rFonts w:ascii="Calibri" w:hAnsi="Calibri"/>
          <w:sz w:val="24"/>
          <w:szCs w:val="24"/>
        </w:rPr>
        <w:t>extérieure</w:t>
      </w:r>
      <w:r w:rsidR="00E95B3D">
        <w:rPr>
          <w:rFonts w:ascii="Calibri" w:hAnsi="Calibri"/>
          <w:sz w:val="24"/>
          <w:szCs w:val="24"/>
        </w:rPr>
        <w:t xml:space="preserve"> (667.819,4 contre 666.006,4 MBIF) de </w:t>
      </w:r>
      <w:r w:rsidRPr="005214F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0,3p.c.</w:t>
      </w:r>
      <w:r w:rsidRPr="005214F0">
        <w:rPr>
          <w:rFonts w:ascii="Calibri" w:hAnsi="Calibri"/>
          <w:sz w:val="24"/>
          <w:szCs w:val="24"/>
        </w:rPr>
        <w:t xml:space="preserve"> </w:t>
      </w:r>
    </w:p>
    <w:p w:rsidR="002B485E" w:rsidRPr="00F166E5" w:rsidRDefault="002B485E" w:rsidP="00431C96">
      <w:pPr>
        <w:pStyle w:val="Titre3"/>
        <w:spacing w:after="120" w:line="240" w:lineRule="auto"/>
        <w:rPr>
          <w:rFonts w:ascii="Calibri" w:hAnsi="Calibri"/>
          <w:b w:val="0"/>
          <w:color w:val="00B0F0"/>
          <w:sz w:val="24"/>
          <w:szCs w:val="24"/>
        </w:rPr>
      </w:pPr>
      <w:bookmarkStart w:id="24" w:name="_Toc397332830"/>
      <w:bookmarkStart w:id="25" w:name="_Toc397332951"/>
      <w:r w:rsidRPr="00F166E5">
        <w:rPr>
          <w:rFonts w:ascii="Calibri" w:hAnsi="Calibri"/>
          <w:color w:val="00B0F0"/>
          <w:sz w:val="24"/>
          <w:szCs w:val="24"/>
        </w:rPr>
        <w:t>- Dette intérieure</w:t>
      </w:r>
      <w:bookmarkEnd w:id="24"/>
      <w:bookmarkEnd w:id="25"/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 rapport à fin juin 2013, </w:t>
      </w:r>
      <w:r w:rsidRPr="005214F0">
        <w:rPr>
          <w:rFonts w:ascii="Calibri" w:hAnsi="Calibri"/>
          <w:sz w:val="24"/>
          <w:szCs w:val="24"/>
        </w:rPr>
        <w:t>le stock de la dette publique intérieure à fin juin 2014 a progressé de 112.120,4 MBIF, passant de 560.126,4 à 672.246,8 MBIF en liaison avec l’augmentation de l’endettement de l’Etat vis-à-vis du secteur bancaire (+96.527,7 MBIF) et non bancaire (</w:t>
      </w:r>
      <w:r>
        <w:rPr>
          <w:rFonts w:ascii="Calibri" w:hAnsi="Calibri"/>
        </w:rPr>
        <w:t>+</w:t>
      </w:r>
      <w:r w:rsidRPr="005214F0">
        <w:rPr>
          <w:rFonts w:ascii="Calibri" w:hAnsi="Calibri"/>
          <w:sz w:val="24"/>
          <w:szCs w:val="24"/>
        </w:rPr>
        <w:t xml:space="preserve">15.592,7 MBIF). </w:t>
      </w:r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 xml:space="preserve">Au niveau du secteur bancaire, la progression a </w:t>
      </w:r>
      <w:r>
        <w:rPr>
          <w:rFonts w:ascii="Calibri" w:hAnsi="Calibri"/>
          <w:sz w:val="24"/>
          <w:szCs w:val="24"/>
        </w:rPr>
        <w:t xml:space="preserve">concerné les </w:t>
      </w:r>
      <w:r w:rsidRPr="005214F0">
        <w:rPr>
          <w:rFonts w:ascii="Calibri" w:hAnsi="Calibri"/>
          <w:sz w:val="24"/>
          <w:szCs w:val="24"/>
        </w:rPr>
        <w:t xml:space="preserve">engagements de l’Etat envers </w:t>
      </w:r>
      <w:r w:rsidR="003C225F" w:rsidRPr="005214F0">
        <w:rPr>
          <w:rFonts w:ascii="Calibri" w:hAnsi="Calibri"/>
          <w:sz w:val="24"/>
          <w:szCs w:val="24"/>
        </w:rPr>
        <w:t>les banques commerciales</w:t>
      </w:r>
      <w:r w:rsidR="003C225F">
        <w:rPr>
          <w:rFonts w:ascii="Calibri" w:hAnsi="Calibri"/>
          <w:sz w:val="24"/>
          <w:szCs w:val="24"/>
        </w:rPr>
        <w:t xml:space="preserve"> </w:t>
      </w:r>
      <w:r w:rsidR="003C225F" w:rsidRPr="005214F0">
        <w:rPr>
          <w:rFonts w:ascii="Calibri" w:hAnsi="Calibri"/>
          <w:sz w:val="24"/>
          <w:szCs w:val="24"/>
        </w:rPr>
        <w:t>(+63.276,3 MBIF)</w:t>
      </w:r>
      <w:r w:rsidR="003C225F">
        <w:rPr>
          <w:rFonts w:ascii="Calibri" w:hAnsi="Calibri"/>
          <w:sz w:val="24"/>
          <w:szCs w:val="24"/>
        </w:rPr>
        <w:t xml:space="preserve"> et </w:t>
      </w:r>
      <w:r w:rsidRPr="005214F0">
        <w:rPr>
          <w:rFonts w:ascii="Calibri" w:hAnsi="Calibri"/>
          <w:sz w:val="24"/>
          <w:szCs w:val="24"/>
        </w:rPr>
        <w:t xml:space="preserve">la Banque Centrale (+34.218,8 MBIF). </w:t>
      </w:r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 xml:space="preserve">Du côté du secteur non bancaire, la progression a </w:t>
      </w:r>
      <w:r w:rsidR="003C225F">
        <w:rPr>
          <w:rFonts w:ascii="Calibri" w:hAnsi="Calibri"/>
          <w:sz w:val="24"/>
          <w:szCs w:val="24"/>
        </w:rPr>
        <w:t>porté sur</w:t>
      </w:r>
      <w:r w:rsidRPr="005214F0">
        <w:rPr>
          <w:rFonts w:ascii="Calibri" w:hAnsi="Calibri"/>
          <w:sz w:val="24"/>
          <w:szCs w:val="24"/>
        </w:rPr>
        <w:t xml:space="preserve"> les bons et obligations du Trésor (+15.919,7 MBIF). </w:t>
      </w:r>
    </w:p>
    <w:p w:rsidR="002106C1" w:rsidRPr="005214F0" w:rsidRDefault="002106C1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Par rapport au mois précédent,</w:t>
      </w:r>
      <w:r w:rsidRPr="005214F0">
        <w:rPr>
          <w:rFonts w:ascii="Calibri" w:hAnsi="Calibri"/>
          <w:sz w:val="24"/>
          <w:szCs w:val="24"/>
        </w:rPr>
        <w:t xml:space="preserve"> le stock de la dette intérieure s’est accru de 22.861,7 MBIF, passant de 649.385,1 à 672.246,8 MBIF</w:t>
      </w:r>
      <w:r>
        <w:rPr>
          <w:rFonts w:ascii="Calibri" w:hAnsi="Calibri"/>
          <w:sz w:val="24"/>
          <w:szCs w:val="24"/>
        </w:rPr>
        <w:t>,</w:t>
      </w:r>
      <w:r w:rsidRPr="005214F0">
        <w:rPr>
          <w:rFonts w:ascii="Calibri" w:hAnsi="Calibri"/>
          <w:sz w:val="24"/>
          <w:szCs w:val="24"/>
        </w:rPr>
        <w:t xml:space="preserve"> suite à l’endettement de l’Etat vis-à-vis du secteur bancaire (+26.106,4 MBIF) </w:t>
      </w:r>
      <w:r>
        <w:rPr>
          <w:rFonts w:ascii="Calibri" w:hAnsi="Calibri"/>
          <w:sz w:val="24"/>
          <w:szCs w:val="24"/>
        </w:rPr>
        <w:t xml:space="preserve">qui a </w:t>
      </w:r>
      <w:r w:rsidRPr="005214F0">
        <w:rPr>
          <w:rFonts w:ascii="Calibri" w:hAnsi="Calibri"/>
          <w:sz w:val="24"/>
          <w:szCs w:val="24"/>
        </w:rPr>
        <w:t xml:space="preserve">contrebalancé le désengagement de l’Etat envers le secteur non bancaire </w:t>
      </w:r>
      <w:r w:rsidR="0036345C">
        <w:rPr>
          <w:rFonts w:ascii="Calibri" w:hAnsi="Calibri"/>
          <w:sz w:val="24"/>
          <w:szCs w:val="24"/>
        </w:rPr>
        <w:t xml:space="preserve">     </w:t>
      </w:r>
      <w:r w:rsidR="00E65121">
        <w:rPr>
          <w:rFonts w:ascii="Calibri" w:hAnsi="Calibri"/>
          <w:sz w:val="24"/>
          <w:szCs w:val="24"/>
        </w:rPr>
        <w:t xml:space="preserve">  </w:t>
      </w:r>
      <w:r w:rsidR="0036345C">
        <w:rPr>
          <w:rFonts w:ascii="Calibri" w:hAnsi="Calibri"/>
          <w:sz w:val="24"/>
          <w:szCs w:val="24"/>
        </w:rPr>
        <w:t xml:space="preserve">    </w:t>
      </w:r>
      <w:r w:rsidRPr="005214F0">
        <w:rPr>
          <w:rFonts w:ascii="Calibri" w:hAnsi="Calibri"/>
          <w:sz w:val="24"/>
          <w:szCs w:val="24"/>
        </w:rPr>
        <w:t xml:space="preserve">(-3.154,7 MBIF). Au niveau du secteur bancaire, l’Etat s’est endetté aussi bien envers la Banque Centrale (+22.925,1 MBIF) qu’auprès des banques commerciales (+3.091,3 MBIF).  </w:t>
      </w:r>
    </w:p>
    <w:p w:rsidR="002B485E" w:rsidRPr="00F166E5" w:rsidRDefault="002B485E" w:rsidP="00431C96">
      <w:pPr>
        <w:pStyle w:val="Titre3"/>
        <w:spacing w:after="120" w:line="240" w:lineRule="auto"/>
        <w:rPr>
          <w:rFonts w:ascii="Calibri" w:hAnsi="Calibri"/>
          <w:b w:val="0"/>
          <w:color w:val="00B0F0"/>
          <w:sz w:val="24"/>
          <w:szCs w:val="24"/>
        </w:rPr>
      </w:pPr>
      <w:bookmarkStart w:id="26" w:name="_Toc397332831"/>
      <w:bookmarkStart w:id="27" w:name="_Toc397332952"/>
      <w:r w:rsidRPr="00F166E5">
        <w:rPr>
          <w:rFonts w:ascii="Calibri" w:hAnsi="Calibri"/>
          <w:color w:val="00B0F0"/>
          <w:sz w:val="24"/>
          <w:szCs w:val="24"/>
        </w:rPr>
        <w:t>- Dette extérieure</w:t>
      </w:r>
      <w:bookmarkEnd w:id="26"/>
      <w:bookmarkEnd w:id="27"/>
    </w:p>
    <w:p w:rsidR="00E57285" w:rsidRPr="005214F0" w:rsidRDefault="00E5728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 xml:space="preserve">En glissement annuel, l’encours de la dette publique extérieure à fin Juin 2014 a progressé de </w:t>
      </w:r>
      <w:r w:rsidR="00AA76EE">
        <w:rPr>
          <w:rFonts w:ascii="Calibri" w:hAnsi="Calibri"/>
          <w:sz w:val="24"/>
          <w:szCs w:val="24"/>
        </w:rPr>
        <w:t>60</w:t>
      </w:r>
      <w:r w:rsidRPr="005214F0">
        <w:rPr>
          <w:rFonts w:ascii="Calibri" w:hAnsi="Calibri"/>
          <w:sz w:val="24"/>
          <w:szCs w:val="24"/>
        </w:rPr>
        <w:t>.</w:t>
      </w:r>
      <w:r w:rsidR="00AA76EE">
        <w:rPr>
          <w:rFonts w:ascii="Calibri" w:hAnsi="Calibri"/>
          <w:sz w:val="24"/>
          <w:szCs w:val="24"/>
        </w:rPr>
        <w:t>021,1</w:t>
      </w:r>
      <w:r w:rsidRPr="005214F0">
        <w:rPr>
          <w:rFonts w:ascii="Calibri" w:hAnsi="Calibri"/>
          <w:sz w:val="24"/>
          <w:szCs w:val="24"/>
        </w:rPr>
        <w:t xml:space="preserve"> MBIF, passant de </w:t>
      </w:r>
      <w:r w:rsidRPr="0049575E">
        <w:rPr>
          <w:rFonts w:ascii="Calibri" w:hAnsi="Calibri"/>
          <w:sz w:val="24"/>
          <w:szCs w:val="24"/>
        </w:rPr>
        <w:t xml:space="preserve">607.798,3 à </w:t>
      </w:r>
      <w:r>
        <w:rPr>
          <w:rFonts w:ascii="Calibri" w:hAnsi="Calibri"/>
          <w:sz w:val="24"/>
          <w:szCs w:val="24"/>
        </w:rPr>
        <w:t>667.819,4</w:t>
      </w:r>
      <w:r w:rsidRPr="005214F0">
        <w:rPr>
          <w:rFonts w:ascii="Calibri" w:hAnsi="Calibri"/>
          <w:sz w:val="24"/>
          <w:szCs w:val="24"/>
        </w:rPr>
        <w:t xml:space="preserve"> MBIF. Cette </w:t>
      </w:r>
      <w:r>
        <w:rPr>
          <w:rFonts w:ascii="Calibri" w:hAnsi="Calibri"/>
          <w:sz w:val="24"/>
          <w:szCs w:val="24"/>
        </w:rPr>
        <w:t>augmentation</w:t>
      </w:r>
      <w:r w:rsidRPr="005214F0">
        <w:rPr>
          <w:rFonts w:ascii="Calibri" w:hAnsi="Calibri"/>
          <w:sz w:val="24"/>
          <w:szCs w:val="24"/>
        </w:rPr>
        <w:t xml:space="preserve"> a résulté des nouveaux tirages (4</w:t>
      </w:r>
      <w:r w:rsidR="00AA76EE">
        <w:rPr>
          <w:rFonts w:ascii="Calibri" w:hAnsi="Calibri"/>
          <w:sz w:val="24"/>
          <w:szCs w:val="24"/>
        </w:rPr>
        <w:t>8</w:t>
      </w:r>
      <w:r w:rsidRPr="005214F0">
        <w:rPr>
          <w:rFonts w:ascii="Calibri" w:hAnsi="Calibri"/>
          <w:sz w:val="24"/>
          <w:szCs w:val="24"/>
        </w:rPr>
        <w:t>.</w:t>
      </w:r>
      <w:r w:rsidR="00AA76EE">
        <w:rPr>
          <w:rFonts w:ascii="Calibri" w:hAnsi="Calibri"/>
          <w:sz w:val="24"/>
          <w:szCs w:val="24"/>
        </w:rPr>
        <w:t>629</w:t>
      </w:r>
      <w:r w:rsidRPr="005214F0">
        <w:rPr>
          <w:rFonts w:ascii="Calibri" w:hAnsi="Calibri"/>
          <w:sz w:val="24"/>
          <w:szCs w:val="24"/>
        </w:rPr>
        <w:t>,</w:t>
      </w:r>
      <w:r w:rsidR="00AA76EE">
        <w:rPr>
          <w:rFonts w:ascii="Calibri" w:hAnsi="Calibri"/>
          <w:sz w:val="24"/>
          <w:szCs w:val="24"/>
        </w:rPr>
        <w:t>5</w:t>
      </w:r>
      <w:r w:rsidRPr="005214F0">
        <w:rPr>
          <w:rFonts w:ascii="Calibri" w:hAnsi="Calibri"/>
          <w:sz w:val="24"/>
          <w:szCs w:val="24"/>
        </w:rPr>
        <w:t xml:space="preserve"> MBIF) et des plus-values de réévaluation (19.81</w:t>
      </w:r>
      <w:r w:rsidR="00AA76EE">
        <w:rPr>
          <w:rFonts w:ascii="Calibri" w:hAnsi="Calibri"/>
          <w:sz w:val="24"/>
          <w:szCs w:val="24"/>
        </w:rPr>
        <w:t>6</w:t>
      </w:r>
      <w:r w:rsidRPr="005214F0">
        <w:rPr>
          <w:rFonts w:ascii="Calibri" w:hAnsi="Calibri"/>
          <w:sz w:val="24"/>
          <w:szCs w:val="24"/>
        </w:rPr>
        <w:t>,9 MBIF)</w:t>
      </w:r>
      <w:r>
        <w:rPr>
          <w:rFonts w:ascii="Calibri" w:hAnsi="Calibri"/>
          <w:sz w:val="24"/>
          <w:szCs w:val="24"/>
        </w:rPr>
        <w:t xml:space="preserve"> qui ont largement contrebalancé </w:t>
      </w:r>
      <w:r w:rsidRPr="005214F0">
        <w:rPr>
          <w:rFonts w:ascii="Calibri" w:hAnsi="Calibri"/>
          <w:sz w:val="24"/>
          <w:szCs w:val="24"/>
        </w:rPr>
        <w:t xml:space="preserve">les amortissements (8.425,3 MBIF).  </w:t>
      </w:r>
    </w:p>
    <w:p w:rsidR="00E57285" w:rsidRPr="005214F0" w:rsidRDefault="00E5728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>D’un mois à l’autre, l’encours de la dette publique extérieure a augmenté de 1.813,0 MBIF, passant de 666.006,4 à 667.819,4 MBIF</w:t>
      </w:r>
      <w:r w:rsidR="0036345C">
        <w:rPr>
          <w:rFonts w:ascii="Calibri" w:hAnsi="Calibri"/>
          <w:sz w:val="24"/>
          <w:szCs w:val="24"/>
        </w:rPr>
        <w:t>,</w:t>
      </w:r>
      <w:r w:rsidRPr="005214F0">
        <w:rPr>
          <w:rFonts w:ascii="Calibri" w:hAnsi="Calibri"/>
          <w:sz w:val="24"/>
          <w:szCs w:val="24"/>
        </w:rPr>
        <w:t xml:space="preserve"> en </w:t>
      </w:r>
      <w:r w:rsidR="0036345C">
        <w:rPr>
          <w:rFonts w:ascii="Calibri" w:hAnsi="Calibri"/>
          <w:sz w:val="24"/>
          <w:szCs w:val="24"/>
        </w:rPr>
        <w:t xml:space="preserve">liaison </w:t>
      </w:r>
      <w:r w:rsidRPr="005214F0">
        <w:rPr>
          <w:rFonts w:ascii="Calibri" w:hAnsi="Calibri"/>
          <w:sz w:val="24"/>
          <w:szCs w:val="24"/>
        </w:rPr>
        <w:t xml:space="preserve">avec les nouveaux tirages (2090,3 MBIF) </w:t>
      </w:r>
    </w:p>
    <w:p w:rsidR="00E57285" w:rsidRPr="005214F0" w:rsidRDefault="00E5728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>Les tirages de juin 2014 ont été orientés vers le programme post conflit financé par l’OPEP (1.952,7 MBIF) et le FIDA (79,5 MBIF)</w:t>
      </w:r>
      <w:r>
        <w:rPr>
          <w:rFonts w:ascii="Calibri" w:hAnsi="Calibri"/>
          <w:sz w:val="24"/>
          <w:szCs w:val="24"/>
        </w:rPr>
        <w:t xml:space="preserve"> </w:t>
      </w:r>
      <w:r w:rsidRPr="005214F0">
        <w:rPr>
          <w:rFonts w:ascii="Calibri" w:hAnsi="Calibri"/>
          <w:sz w:val="24"/>
          <w:szCs w:val="24"/>
        </w:rPr>
        <w:t>et</w:t>
      </w:r>
      <w:r>
        <w:rPr>
          <w:rFonts w:ascii="Calibri" w:hAnsi="Calibri"/>
          <w:sz w:val="24"/>
          <w:szCs w:val="24"/>
        </w:rPr>
        <w:t xml:space="preserve"> </w:t>
      </w:r>
      <w:r w:rsidRPr="005214F0">
        <w:rPr>
          <w:rFonts w:ascii="Calibri" w:hAnsi="Calibri"/>
          <w:sz w:val="24"/>
          <w:szCs w:val="24"/>
        </w:rPr>
        <w:t>vers le programme d’aménagement du Lac Tanganyika financé par le FAD (58,1 MBIF).</w:t>
      </w:r>
    </w:p>
    <w:p w:rsidR="00E57285" w:rsidRPr="005214F0" w:rsidRDefault="00E5728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5214F0">
        <w:rPr>
          <w:rFonts w:ascii="Calibri" w:hAnsi="Calibri"/>
          <w:sz w:val="24"/>
          <w:szCs w:val="24"/>
        </w:rPr>
        <w:t xml:space="preserve">Exprimé en dollars américains, le stock de la dette </w:t>
      </w:r>
      <w:r w:rsidR="00D14DA7">
        <w:rPr>
          <w:rFonts w:ascii="Calibri" w:hAnsi="Calibri"/>
          <w:sz w:val="24"/>
          <w:szCs w:val="24"/>
        </w:rPr>
        <w:t xml:space="preserve">publique </w:t>
      </w:r>
      <w:r w:rsidRPr="005214F0">
        <w:rPr>
          <w:rFonts w:ascii="Calibri" w:hAnsi="Calibri"/>
          <w:sz w:val="24"/>
          <w:szCs w:val="24"/>
        </w:rPr>
        <w:t>extérieure à fin juin 2014 a augmenté de 36,7 MUSD, se fixant à 431,8 contre 395,1 MUSD à la</w:t>
      </w:r>
      <w:r>
        <w:rPr>
          <w:rFonts w:ascii="Calibri" w:hAnsi="Calibri"/>
          <w:sz w:val="24"/>
          <w:szCs w:val="24"/>
        </w:rPr>
        <w:t xml:space="preserve"> fin de la </w:t>
      </w:r>
      <w:r w:rsidRPr="005214F0">
        <w:rPr>
          <w:rFonts w:ascii="Calibri" w:hAnsi="Calibri"/>
          <w:sz w:val="24"/>
          <w:szCs w:val="24"/>
        </w:rPr>
        <w:t xml:space="preserve">période correspondante de </w:t>
      </w:r>
      <w:r w:rsidR="000C3849">
        <w:rPr>
          <w:rFonts w:ascii="Calibri" w:hAnsi="Calibri"/>
          <w:sz w:val="24"/>
          <w:szCs w:val="24"/>
        </w:rPr>
        <w:t>2013</w:t>
      </w:r>
      <w:r w:rsidRPr="005214F0">
        <w:rPr>
          <w:rFonts w:ascii="Calibri" w:hAnsi="Calibri"/>
          <w:sz w:val="24"/>
          <w:szCs w:val="24"/>
        </w:rPr>
        <w:t>.</w:t>
      </w:r>
    </w:p>
    <w:p w:rsidR="00F166E5" w:rsidRPr="004847AB" w:rsidRDefault="00F166E5" w:rsidP="00431C96">
      <w:pPr>
        <w:pStyle w:val="Titre1"/>
        <w:rPr>
          <w:rFonts w:ascii="Calibri" w:hAnsi="Calibri"/>
          <w:b/>
          <w:color w:val="00B0F0"/>
          <w:sz w:val="24"/>
          <w:u w:val="none"/>
        </w:rPr>
      </w:pPr>
      <w:bookmarkStart w:id="28" w:name="_Toc397332832"/>
      <w:bookmarkStart w:id="29" w:name="_Toc397332953"/>
      <w:r w:rsidRPr="004847AB">
        <w:rPr>
          <w:rFonts w:ascii="Calibri" w:hAnsi="Calibri"/>
          <w:b/>
          <w:color w:val="00B0F0"/>
          <w:sz w:val="24"/>
          <w:u w:val="none"/>
        </w:rPr>
        <w:t>V. BASE MONETAIRE, MASSE MONETAIRE</w:t>
      </w:r>
      <w:bookmarkEnd w:id="28"/>
      <w:bookmarkEnd w:id="29"/>
      <w:r w:rsidRPr="004847AB">
        <w:rPr>
          <w:rFonts w:ascii="Calibri" w:hAnsi="Calibri"/>
          <w:b/>
          <w:color w:val="00B0F0"/>
          <w:sz w:val="24"/>
          <w:u w:val="none"/>
        </w:rPr>
        <w:t xml:space="preserve"> </w:t>
      </w:r>
    </w:p>
    <w:p w:rsidR="00F166E5" w:rsidRPr="00F166E5" w:rsidRDefault="00F166E5" w:rsidP="00431C96">
      <w:pPr>
        <w:pStyle w:val="Titre1"/>
        <w:spacing w:after="120"/>
        <w:rPr>
          <w:rFonts w:ascii="Calibri" w:hAnsi="Calibri"/>
          <w:b/>
          <w:color w:val="00B0F0"/>
          <w:sz w:val="24"/>
        </w:rPr>
      </w:pPr>
      <w:r w:rsidRPr="004847AB">
        <w:rPr>
          <w:rFonts w:ascii="Calibri" w:hAnsi="Calibri"/>
          <w:b/>
          <w:color w:val="00B0F0"/>
          <w:sz w:val="24"/>
          <w:u w:val="none"/>
        </w:rPr>
        <w:t xml:space="preserve">     </w:t>
      </w:r>
      <w:bookmarkStart w:id="30" w:name="_Toc397332833"/>
      <w:bookmarkStart w:id="31" w:name="_Toc397332954"/>
      <w:r w:rsidRPr="004847AB">
        <w:rPr>
          <w:rFonts w:ascii="Calibri" w:hAnsi="Calibri"/>
          <w:b/>
          <w:color w:val="00B0F0"/>
          <w:sz w:val="24"/>
          <w:u w:val="none"/>
        </w:rPr>
        <w:t>ET CONTREPARTIES</w:t>
      </w:r>
      <w:bookmarkEnd w:id="30"/>
      <w:bookmarkEnd w:id="31"/>
      <w:r w:rsidRPr="00F166E5">
        <w:rPr>
          <w:rFonts w:ascii="Calibri" w:hAnsi="Calibri"/>
          <w:b/>
          <w:color w:val="00B0F0"/>
          <w:sz w:val="24"/>
        </w:rPr>
        <w:t xml:space="preserve"> </w:t>
      </w:r>
    </w:p>
    <w:p w:rsidR="00F166E5" w:rsidRPr="00F166E5" w:rsidRDefault="00F166E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166E5">
        <w:rPr>
          <w:rFonts w:ascii="Calibri" w:hAnsi="Calibri"/>
          <w:sz w:val="24"/>
          <w:szCs w:val="24"/>
        </w:rPr>
        <w:t>En glissement annuel, l</w:t>
      </w:r>
      <w:r w:rsidR="00D14DA7">
        <w:rPr>
          <w:rFonts w:ascii="Calibri" w:hAnsi="Calibri"/>
          <w:sz w:val="24"/>
          <w:szCs w:val="24"/>
        </w:rPr>
        <w:t xml:space="preserve">e rythme de </w:t>
      </w:r>
      <w:r w:rsidRPr="00F166E5">
        <w:rPr>
          <w:rFonts w:ascii="Calibri" w:hAnsi="Calibri"/>
          <w:sz w:val="24"/>
          <w:szCs w:val="24"/>
        </w:rPr>
        <w:t xml:space="preserve"> croissance de la base monétaire s’est décéléré (19,4 contre 28,7 p.c.). De même, le rythme de croissance de la masse monétaire</w:t>
      </w:r>
      <w:r w:rsidR="00F02C4A">
        <w:rPr>
          <w:rFonts w:ascii="Calibri" w:hAnsi="Calibri"/>
          <w:sz w:val="24"/>
          <w:szCs w:val="24"/>
        </w:rPr>
        <w:t xml:space="preserve"> </w:t>
      </w:r>
      <w:r w:rsidRPr="00F166E5">
        <w:rPr>
          <w:rFonts w:ascii="Calibri" w:hAnsi="Calibri"/>
          <w:sz w:val="24"/>
          <w:szCs w:val="24"/>
        </w:rPr>
        <w:t>s’est ralenti</w:t>
      </w:r>
      <w:r w:rsidR="00263C9D">
        <w:rPr>
          <w:rFonts w:ascii="Calibri" w:hAnsi="Calibri"/>
          <w:sz w:val="24"/>
          <w:szCs w:val="24"/>
        </w:rPr>
        <w:t>,</w:t>
      </w:r>
      <w:r w:rsidRPr="00F166E5">
        <w:rPr>
          <w:rFonts w:ascii="Calibri" w:hAnsi="Calibri"/>
          <w:sz w:val="24"/>
          <w:szCs w:val="24"/>
        </w:rPr>
        <w:t xml:space="preserve"> revenant de 19,8 à 12,0 p.c.</w:t>
      </w:r>
      <w:r w:rsidR="003659BD">
        <w:rPr>
          <w:rFonts w:ascii="Calibri" w:hAnsi="Calibri"/>
          <w:sz w:val="24"/>
          <w:szCs w:val="24"/>
        </w:rPr>
        <w:t>,</w:t>
      </w:r>
      <w:r w:rsidRPr="00F166E5">
        <w:rPr>
          <w:rFonts w:ascii="Calibri" w:hAnsi="Calibri"/>
          <w:sz w:val="24"/>
          <w:szCs w:val="24"/>
        </w:rPr>
        <w:t xml:space="preserve"> </w:t>
      </w:r>
      <w:r w:rsidR="003659BD">
        <w:rPr>
          <w:rFonts w:ascii="Calibri" w:hAnsi="Calibri"/>
          <w:sz w:val="24"/>
          <w:szCs w:val="24"/>
        </w:rPr>
        <w:t xml:space="preserve">suite à la décélération du rythme </w:t>
      </w:r>
      <w:r w:rsidR="003659BD">
        <w:rPr>
          <w:rFonts w:ascii="Calibri" w:hAnsi="Calibri"/>
          <w:sz w:val="24"/>
          <w:szCs w:val="24"/>
        </w:rPr>
        <w:lastRenderedPageBreak/>
        <w:t>de progression des</w:t>
      </w:r>
      <w:r w:rsidRPr="00F166E5">
        <w:rPr>
          <w:rFonts w:ascii="Calibri" w:hAnsi="Calibri"/>
          <w:sz w:val="24"/>
          <w:szCs w:val="24"/>
        </w:rPr>
        <w:t xml:space="preserve"> avoirs extérieurs nets </w:t>
      </w:r>
      <w:r w:rsidR="003659BD">
        <w:rPr>
          <w:rFonts w:ascii="Calibri" w:hAnsi="Calibri"/>
          <w:sz w:val="24"/>
          <w:szCs w:val="24"/>
        </w:rPr>
        <w:t>(</w:t>
      </w:r>
      <w:r w:rsidRPr="00F166E5">
        <w:rPr>
          <w:rFonts w:ascii="Calibri" w:hAnsi="Calibri"/>
          <w:sz w:val="24"/>
          <w:szCs w:val="24"/>
        </w:rPr>
        <w:t>16,3 p.c. contre 24,3 p.c.</w:t>
      </w:r>
      <w:r w:rsidR="003659BD">
        <w:rPr>
          <w:rFonts w:ascii="Calibri" w:hAnsi="Calibri"/>
          <w:sz w:val="24"/>
          <w:szCs w:val="24"/>
        </w:rPr>
        <w:t>) et du</w:t>
      </w:r>
      <w:r w:rsidRPr="00F166E5">
        <w:rPr>
          <w:rFonts w:ascii="Calibri" w:hAnsi="Calibri"/>
          <w:sz w:val="24"/>
          <w:szCs w:val="24"/>
        </w:rPr>
        <w:t xml:space="preserve"> crédit intérieur </w:t>
      </w:r>
      <w:r w:rsidR="003659BD">
        <w:rPr>
          <w:rFonts w:ascii="Calibri" w:hAnsi="Calibri"/>
          <w:sz w:val="24"/>
          <w:szCs w:val="24"/>
        </w:rPr>
        <w:t>(</w:t>
      </w:r>
      <w:r w:rsidRPr="00F166E5">
        <w:rPr>
          <w:rFonts w:ascii="Calibri" w:hAnsi="Calibri"/>
          <w:sz w:val="24"/>
          <w:szCs w:val="24"/>
        </w:rPr>
        <w:t>11,4 contre 14,5 p.c</w:t>
      </w:r>
      <w:r w:rsidR="004644B4">
        <w:rPr>
          <w:rFonts w:ascii="Calibri" w:hAnsi="Calibri"/>
          <w:sz w:val="24"/>
          <w:szCs w:val="24"/>
        </w:rPr>
        <w:t>.</w:t>
      </w:r>
      <w:r w:rsidR="003659BD">
        <w:rPr>
          <w:rFonts w:ascii="Calibri" w:hAnsi="Calibri"/>
          <w:sz w:val="24"/>
          <w:szCs w:val="24"/>
        </w:rPr>
        <w:t>)</w:t>
      </w:r>
      <w:r w:rsidRPr="00F166E5">
        <w:rPr>
          <w:rFonts w:ascii="Calibri" w:hAnsi="Calibri"/>
          <w:sz w:val="24"/>
          <w:szCs w:val="24"/>
        </w:rPr>
        <w:t>.</w:t>
      </w:r>
    </w:p>
    <w:p w:rsidR="00F166E5" w:rsidRPr="00F166E5" w:rsidRDefault="00F166E5" w:rsidP="00431C96">
      <w:pPr>
        <w:pStyle w:val="Titre2"/>
        <w:spacing w:after="120"/>
        <w:rPr>
          <w:rFonts w:ascii="Calibri" w:hAnsi="Calibri"/>
          <w:b w:val="0"/>
          <w:color w:val="00B0F0"/>
          <w:sz w:val="24"/>
        </w:rPr>
      </w:pPr>
      <w:bookmarkStart w:id="32" w:name="_Toc393361858"/>
      <w:bookmarkStart w:id="33" w:name="_Toc397332834"/>
      <w:bookmarkStart w:id="34" w:name="_Toc397332955"/>
      <w:r w:rsidRPr="00F166E5">
        <w:rPr>
          <w:rFonts w:ascii="Calibri" w:hAnsi="Calibri"/>
          <w:color w:val="00B0F0"/>
          <w:sz w:val="24"/>
        </w:rPr>
        <w:t>Base monétaire</w:t>
      </w:r>
      <w:bookmarkEnd w:id="32"/>
      <w:bookmarkEnd w:id="33"/>
      <w:bookmarkEnd w:id="34"/>
    </w:p>
    <w:p w:rsidR="00F166E5" w:rsidRPr="00F166E5" w:rsidRDefault="00F166E5" w:rsidP="00431C96">
      <w:pPr>
        <w:pStyle w:val="Retraitcorpsdetexte3"/>
        <w:spacing w:after="120"/>
        <w:ind w:firstLine="0"/>
        <w:rPr>
          <w:color w:val="auto"/>
          <w:sz w:val="24"/>
          <w:szCs w:val="24"/>
        </w:rPr>
      </w:pPr>
      <w:r w:rsidRPr="00F166E5">
        <w:rPr>
          <w:color w:val="auto"/>
          <w:sz w:val="24"/>
          <w:szCs w:val="24"/>
        </w:rPr>
        <w:t>En glissement annuel, la base monétaire (334.898,5 contre 280.590,0 MBIF) s’est accrue de 54.308,5 MBIF, soit 19,4 p.c., en liaison avec l’augmentation des dépôts du secteur bancaire (+43.673,7 MBIF), de la circulation fiduciaire (+17.970,0 MBIF) et des dépôts divers (+998,6 MBIF). En revanche, les dépôts des sociétés à participation publique</w:t>
      </w:r>
      <w:r w:rsidR="003336FF">
        <w:rPr>
          <w:color w:val="auto"/>
          <w:sz w:val="24"/>
          <w:szCs w:val="24"/>
        </w:rPr>
        <w:t>,</w:t>
      </w:r>
      <w:r w:rsidRPr="00F166E5">
        <w:rPr>
          <w:color w:val="auto"/>
          <w:sz w:val="24"/>
          <w:szCs w:val="24"/>
        </w:rPr>
        <w:t xml:space="preserve"> des établissements de micro finance et des établissements financiers ont</w:t>
      </w:r>
      <w:r w:rsidR="003336FF">
        <w:rPr>
          <w:color w:val="auto"/>
          <w:sz w:val="24"/>
          <w:szCs w:val="24"/>
        </w:rPr>
        <w:t xml:space="preserve"> respectivement diminué de </w:t>
      </w:r>
      <w:r w:rsidR="003336FF" w:rsidRPr="00F166E5">
        <w:rPr>
          <w:color w:val="auto"/>
          <w:sz w:val="24"/>
          <w:szCs w:val="24"/>
        </w:rPr>
        <w:t>1.086,7 MBIF,</w:t>
      </w:r>
      <w:r w:rsidR="003336FF" w:rsidRPr="003336FF">
        <w:rPr>
          <w:color w:val="auto"/>
          <w:sz w:val="24"/>
          <w:szCs w:val="24"/>
        </w:rPr>
        <w:t xml:space="preserve"> </w:t>
      </w:r>
      <w:r w:rsidR="003336FF" w:rsidRPr="00F166E5">
        <w:rPr>
          <w:color w:val="auto"/>
          <w:sz w:val="24"/>
          <w:szCs w:val="24"/>
        </w:rPr>
        <w:t>6.332,1</w:t>
      </w:r>
      <w:r w:rsidR="003336FF">
        <w:rPr>
          <w:color w:val="auto"/>
          <w:sz w:val="24"/>
          <w:szCs w:val="24"/>
        </w:rPr>
        <w:t xml:space="preserve"> et </w:t>
      </w:r>
      <w:r w:rsidR="003336FF" w:rsidRPr="00F166E5">
        <w:rPr>
          <w:color w:val="auto"/>
          <w:sz w:val="24"/>
          <w:szCs w:val="24"/>
        </w:rPr>
        <w:t>915,0 MBIF</w:t>
      </w:r>
      <w:r w:rsidR="003336FF">
        <w:rPr>
          <w:color w:val="auto"/>
          <w:sz w:val="24"/>
          <w:szCs w:val="24"/>
        </w:rPr>
        <w:t>.</w:t>
      </w:r>
    </w:p>
    <w:p w:rsidR="00F166E5" w:rsidRPr="00F166E5" w:rsidRDefault="00F166E5" w:rsidP="00431C96">
      <w:pPr>
        <w:pStyle w:val="Titre2"/>
        <w:spacing w:after="120"/>
        <w:rPr>
          <w:rFonts w:ascii="Calibri" w:hAnsi="Calibri"/>
          <w:b w:val="0"/>
          <w:color w:val="00B0F0"/>
          <w:sz w:val="24"/>
        </w:rPr>
      </w:pPr>
      <w:bookmarkStart w:id="35" w:name="_Toc393361859"/>
      <w:bookmarkStart w:id="36" w:name="_Toc397332835"/>
      <w:bookmarkStart w:id="37" w:name="_Toc397332956"/>
      <w:r w:rsidRPr="00F166E5">
        <w:rPr>
          <w:rFonts w:ascii="Calibri" w:hAnsi="Calibri"/>
          <w:color w:val="00B0F0"/>
          <w:sz w:val="24"/>
        </w:rPr>
        <w:t>Masse monétaire</w:t>
      </w:r>
      <w:bookmarkEnd w:id="35"/>
      <w:bookmarkEnd w:id="36"/>
      <w:bookmarkEnd w:id="37"/>
      <w:r w:rsidRPr="00F166E5">
        <w:rPr>
          <w:rFonts w:ascii="Calibri" w:hAnsi="Calibri"/>
          <w:color w:val="00B0F0"/>
          <w:sz w:val="24"/>
        </w:rPr>
        <w:t xml:space="preserve"> </w:t>
      </w:r>
    </w:p>
    <w:p w:rsidR="00F166E5" w:rsidRPr="00F166E5" w:rsidRDefault="00F166E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166E5">
        <w:rPr>
          <w:rFonts w:ascii="Calibri" w:hAnsi="Calibri"/>
          <w:sz w:val="24"/>
          <w:szCs w:val="24"/>
        </w:rPr>
        <w:t xml:space="preserve">Comparée à celle de fin juin 2013, la masse monétaire M3 (993.028,0 contre 886.262,3 MBIF) a progressé de 106.765,7 MBIF, soit 12,0 p.c. en liaison avec l’accroissement de la composante M2 (+96.887,0 MBIF) et des dépôts en devises des résidents (+9.878,7 MBIF). </w:t>
      </w:r>
    </w:p>
    <w:p w:rsidR="00F166E5" w:rsidRPr="00F166E5" w:rsidRDefault="00F166E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166E5">
        <w:rPr>
          <w:rFonts w:ascii="Calibri" w:hAnsi="Calibri"/>
          <w:sz w:val="24"/>
          <w:szCs w:val="24"/>
        </w:rPr>
        <w:t xml:space="preserve">L’augmentation de la masse monétaire (M2) a concerné les disponibilités monétaires (+60.008,0 MBIF) et les dépôts à terme en BIF (+36.879,0 MBIF). La hausse des disponibilités monétaires a porté, à la fois, sur les dépôts à vue (+44.552,4 MBIF) et la circulation fiduciaire hors banques (+15.455,6 MBIF). </w:t>
      </w:r>
    </w:p>
    <w:p w:rsidR="00F166E5" w:rsidRPr="00F166E5" w:rsidRDefault="00F166E5" w:rsidP="00431C96">
      <w:pPr>
        <w:pStyle w:val="Retraitcorpsdetexte"/>
        <w:spacing w:after="120"/>
        <w:ind w:firstLine="0"/>
        <w:rPr>
          <w:sz w:val="24"/>
        </w:rPr>
      </w:pPr>
      <w:r w:rsidRPr="00F166E5">
        <w:rPr>
          <w:sz w:val="24"/>
        </w:rPr>
        <w:t xml:space="preserve">L’accroissement des dépôts à vue en BIF a porté sur les dépôts des particuliers (+1.454.0 MBIF), des entreprises privées (+34.929,9 MBIF), des sociétés à participation publique (+4.099,2 MBIF), des dépôts regroupés dans les « autres comptes » (+4.469,2 MBIF) et </w:t>
      </w:r>
      <w:r w:rsidR="00F02C4A">
        <w:rPr>
          <w:sz w:val="24"/>
        </w:rPr>
        <w:t xml:space="preserve">ceux </w:t>
      </w:r>
      <w:r w:rsidRPr="00F166E5">
        <w:rPr>
          <w:sz w:val="24"/>
        </w:rPr>
        <w:t xml:space="preserve">des administrations locales (+139,5 MBIF). En revanche, les avoirs des établissements financiers (-539,4 MBIF) </w:t>
      </w:r>
      <w:r w:rsidR="0010769B">
        <w:rPr>
          <w:sz w:val="24"/>
        </w:rPr>
        <w:t>ont baissé</w:t>
      </w:r>
      <w:r w:rsidRPr="00F166E5">
        <w:rPr>
          <w:sz w:val="24"/>
        </w:rPr>
        <w:t xml:space="preserve">. </w:t>
      </w:r>
    </w:p>
    <w:p w:rsidR="00F166E5" w:rsidRPr="00F166E5" w:rsidRDefault="00F166E5" w:rsidP="00431C96">
      <w:pPr>
        <w:pStyle w:val="Retraitcorpsdetexte"/>
        <w:spacing w:after="120"/>
        <w:ind w:firstLine="0"/>
        <w:rPr>
          <w:b/>
          <w:sz w:val="24"/>
        </w:rPr>
      </w:pPr>
      <w:r w:rsidRPr="00F166E5">
        <w:rPr>
          <w:sz w:val="24"/>
        </w:rPr>
        <w:t xml:space="preserve">La hausse des dépôts à terme et d’épargne en BIF est imputable </w:t>
      </w:r>
      <w:r w:rsidR="00E71E17">
        <w:rPr>
          <w:sz w:val="24"/>
        </w:rPr>
        <w:t>à l’augmentation des</w:t>
      </w:r>
      <w:r w:rsidRPr="00F166E5">
        <w:rPr>
          <w:sz w:val="24"/>
        </w:rPr>
        <w:t xml:space="preserve"> placements des particuliers (+17.756,7 MBIF), des entreprises privées (+1.874,1 </w:t>
      </w:r>
      <w:r w:rsidRPr="00F166E5">
        <w:rPr>
          <w:sz w:val="24"/>
        </w:rPr>
        <w:lastRenderedPageBreak/>
        <w:t xml:space="preserve">MBIF) et aux dépôts à terme et d’épargne regroupés dans les « autres comptes » (+27.039,8 MBIF). En revanche, ceux des sociétés à participation publique et des établissements financiers ont diminué de 8.100,9 et 1.654,8 MBIF respectivement. </w:t>
      </w:r>
    </w:p>
    <w:p w:rsidR="00F166E5" w:rsidRPr="00F166E5" w:rsidRDefault="00F166E5" w:rsidP="00431C96">
      <w:pPr>
        <w:pStyle w:val="Retraitcorpsdetexte"/>
        <w:spacing w:after="120"/>
        <w:ind w:firstLine="0"/>
        <w:rPr>
          <w:sz w:val="24"/>
        </w:rPr>
      </w:pPr>
      <w:r w:rsidRPr="00F166E5">
        <w:rPr>
          <w:sz w:val="24"/>
        </w:rPr>
        <w:t xml:space="preserve">L’augmentation des dépôts en devises des résidents (+9.878,7 MBIF) </w:t>
      </w:r>
      <w:r w:rsidR="0010769B">
        <w:rPr>
          <w:sz w:val="24"/>
        </w:rPr>
        <w:t xml:space="preserve">est en liaison </w:t>
      </w:r>
      <w:r w:rsidRPr="00F166E5">
        <w:rPr>
          <w:sz w:val="24"/>
        </w:rPr>
        <w:t xml:space="preserve"> </w:t>
      </w:r>
      <w:r w:rsidR="0010769B">
        <w:rPr>
          <w:sz w:val="24"/>
        </w:rPr>
        <w:t xml:space="preserve">avec </w:t>
      </w:r>
      <w:r w:rsidRPr="00F166E5">
        <w:rPr>
          <w:sz w:val="24"/>
        </w:rPr>
        <w:t>principalement  la hausse des avoirs  des particuliers (+8.087,8 MBIF) et des entreprises privées (+7.030,0 MBIF) qui a contrebalancé la baisse des dépôts des sociétés à participation publique (-4.861,8 MBIF) et ceux qui sont  regroupés dans les « autres comptes » (-377,2 MBIF).</w:t>
      </w:r>
    </w:p>
    <w:p w:rsidR="00F166E5" w:rsidRPr="00F166E5" w:rsidRDefault="00F166E5" w:rsidP="00431C96">
      <w:pPr>
        <w:pStyle w:val="Titre2"/>
        <w:spacing w:after="120"/>
        <w:rPr>
          <w:rFonts w:ascii="Calibri" w:hAnsi="Calibri"/>
          <w:color w:val="00B0F0"/>
          <w:sz w:val="24"/>
        </w:rPr>
      </w:pPr>
      <w:bookmarkStart w:id="38" w:name="_Toc393361860"/>
      <w:bookmarkStart w:id="39" w:name="_Toc397332836"/>
      <w:bookmarkStart w:id="40" w:name="_Toc397332957"/>
      <w:r w:rsidRPr="00F166E5">
        <w:rPr>
          <w:rFonts w:ascii="Calibri" w:hAnsi="Calibri"/>
          <w:color w:val="00B0F0"/>
          <w:sz w:val="24"/>
        </w:rPr>
        <w:t>Contreparties</w:t>
      </w:r>
      <w:bookmarkEnd w:id="38"/>
      <w:bookmarkEnd w:id="39"/>
      <w:bookmarkEnd w:id="40"/>
    </w:p>
    <w:p w:rsidR="00F166E5" w:rsidRPr="00F166E5" w:rsidRDefault="00F166E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166E5">
        <w:rPr>
          <w:rFonts w:ascii="Calibri" w:hAnsi="Calibri"/>
          <w:sz w:val="24"/>
          <w:szCs w:val="24"/>
        </w:rPr>
        <w:t xml:space="preserve">S’élevant à 1.078.043,7 contre 968.117,7 MBIF à fin juin 2013, le crédit intérieur s’est accru de 109.926,0 MBIF, soit 11,4 p.c., en rapport avec l’augmentation de </w:t>
      </w:r>
      <w:r w:rsidR="0010769B">
        <w:rPr>
          <w:rFonts w:ascii="Calibri" w:hAnsi="Calibri"/>
          <w:sz w:val="24"/>
          <w:szCs w:val="24"/>
        </w:rPr>
        <w:t>l’endettement net de</w:t>
      </w:r>
      <w:r w:rsidRPr="00F166E5">
        <w:rPr>
          <w:rFonts w:ascii="Calibri" w:hAnsi="Calibri"/>
          <w:sz w:val="24"/>
          <w:szCs w:val="24"/>
        </w:rPr>
        <w:t xml:space="preserve"> l’Etat (+73.703,4 MBIF) et </w:t>
      </w:r>
      <w:r w:rsidR="0010769B">
        <w:rPr>
          <w:rFonts w:ascii="Calibri" w:hAnsi="Calibri"/>
          <w:sz w:val="24"/>
          <w:szCs w:val="24"/>
        </w:rPr>
        <w:t xml:space="preserve">des créances </w:t>
      </w:r>
      <w:r w:rsidRPr="00F166E5">
        <w:rPr>
          <w:rFonts w:ascii="Calibri" w:hAnsi="Calibri"/>
          <w:sz w:val="24"/>
          <w:szCs w:val="24"/>
        </w:rPr>
        <w:t>sur l’économie (+36.222,6 MBIF).</w:t>
      </w:r>
    </w:p>
    <w:p w:rsidR="00F166E5" w:rsidRPr="00F166E5" w:rsidRDefault="00F166E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166E5">
        <w:rPr>
          <w:rFonts w:ascii="Calibri" w:hAnsi="Calibri"/>
          <w:sz w:val="24"/>
          <w:szCs w:val="24"/>
        </w:rPr>
        <w:t>L’accroissement de</w:t>
      </w:r>
      <w:r w:rsidR="0010769B">
        <w:rPr>
          <w:rFonts w:ascii="Calibri" w:hAnsi="Calibri"/>
          <w:sz w:val="24"/>
          <w:szCs w:val="24"/>
        </w:rPr>
        <w:t>s</w:t>
      </w:r>
      <w:r w:rsidRPr="00F166E5">
        <w:rPr>
          <w:rFonts w:ascii="Calibri" w:hAnsi="Calibri"/>
          <w:sz w:val="24"/>
          <w:szCs w:val="24"/>
        </w:rPr>
        <w:t xml:space="preserve"> </w:t>
      </w:r>
      <w:r w:rsidR="0010769B">
        <w:rPr>
          <w:rFonts w:ascii="Calibri" w:hAnsi="Calibri"/>
          <w:sz w:val="24"/>
          <w:szCs w:val="24"/>
        </w:rPr>
        <w:t>créances nettes sur</w:t>
      </w:r>
      <w:r w:rsidRPr="00F166E5">
        <w:rPr>
          <w:rFonts w:ascii="Calibri" w:hAnsi="Calibri"/>
          <w:sz w:val="24"/>
          <w:szCs w:val="24"/>
        </w:rPr>
        <w:t xml:space="preserve"> l’Etat a principalement résulté de la hausse de l’encours des Bons et Obligations du Trésor détenus par les banques commerciales (+63.274,5 MBIF) et des avances de la Banque Centrale (+34.218,7 MBIF) qui a  contrebalancé </w:t>
      </w:r>
      <w:r w:rsidR="0010769B">
        <w:rPr>
          <w:rFonts w:ascii="Calibri" w:hAnsi="Calibri"/>
          <w:sz w:val="24"/>
          <w:szCs w:val="24"/>
        </w:rPr>
        <w:t xml:space="preserve">l’augmentation </w:t>
      </w:r>
      <w:r w:rsidRPr="00F166E5">
        <w:rPr>
          <w:rFonts w:ascii="Calibri" w:hAnsi="Calibri"/>
          <w:sz w:val="24"/>
          <w:szCs w:val="24"/>
        </w:rPr>
        <w:t xml:space="preserve">des dépôts du secteur gouvernemental (+22.824,2 MBIF).  </w:t>
      </w:r>
    </w:p>
    <w:p w:rsidR="00F166E5" w:rsidRPr="00F166E5" w:rsidRDefault="00F166E5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166E5">
        <w:rPr>
          <w:rFonts w:ascii="Calibri" w:hAnsi="Calibri"/>
          <w:sz w:val="24"/>
          <w:szCs w:val="24"/>
        </w:rPr>
        <w:t>L’expansion des créances sur l’économie a concerné principalement les financements à moyen (+2.407,8 MBIF) et long termes (+27.177,8 MBIF), les concours divers (+19.700,6 MBIF) et les crédits à l’exportation (</w:t>
      </w:r>
      <w:r w:rsidR="00501C6E">
        <w:rPr>
          <w:rFonts w:ascii="Calibri" w:hAnsi="Calibri"/>
          <w:sz w:val="24"/>
          <w:szCs w:val="24"/>
        </w:rPr>
        <w:t>+</w:t>
      </w:r>
      <w:r w:rsidRPr="00F166E5">
        <w:rPr>
          <w:rFonts w:ascii="Calibri" w:hAnsi="Calibri"/>
          <w:sz w:val="24"/>
          <w:szCs w:val="24"/>
        </w:rPr>
        <w:t>6.617,3 MBIF). Pour leur part, les crédits de trésorerie et à l’importation ont</w:t>
      </w:r>
      <w:r w:rsidR="00C36E92">
        <w:rPr>
          <w:rFonts w:ascii="Calibri" w:hAnsi="Calibri"/>
          <w:sz w:val="24"/>
          <w:szCs w:val="24"/>
        </w:rPr>
        <w:t xml:space="preserve"> respectivement</w:t>
      </w:r>
      <w:r w:rsidRPr="00F166E5">
        <w:rPr>
          <w:rFonts w:ascii="Calibri" w:hAnsi="Calibri"/>
          <w:sz w:val="24"/>
          <w:szCs w:val="24"/>
        </w:rPr>
        <w:t xml:space="preserve"> diminué</w:t>
      </w:r>
      <w:r w:rsidR="00C36E92">
        <w:rPr>
          <w:rFonts w:ascii="Calibri" w:hAnsi="Calibri"/>
          <w:sz w:val="24"/>
          <w:szCs w:val="24"/>
        </w:rPr>
        <w:t xml:space="preserve"> de </w:t>
      </w:r>
      <w:r w:rsidR="00C36E92" w:rsidRPr="00F166E5">
        <w:rPr>
          <w:rFonts w:ascii="Calibri" w:hAnsi="Calibri"/>
          <w:sz w:val="24"/>
          <w:szCs w:val="24"/>
        </w:rPr>
        <w:t>24.202,7</w:t>
      </w:r>
      <w:r w:rsidR="00C36E92">
        <w:rPr>
          <w:rFonts w:ascii="Calibri" w:hAnsi="Calibri"/>
          <w:sz w:val="24"/>
          <w:szCs w:val="24"/>
        </w:rPr>
        <w:t xml:space="preserve"> et </w:t>
      </w:r>
      <w:r w:rsidR="00C36E92" w:rsidRPr="00F166E5">
        <w:rPr>
          <w:rFonts w:ascii="Calibri" w:hAnsi="Calibri"/>
          <w:sz w:val="24"/>
          <w:szCs w:val="24"/>
        </w:rPr>
        <w:t>411,7 MBIF</w:t>
      </w:r>
      <w:r w:rsidR="00C36E92">
        <w:rPr>
          <w:rFonts w:ascii="Calibri" w:hAnsi="Calibri"/>
          <w:sz w:val="24"/>
          <w:szCs w:val="24"/>
        </w:rPr>
        <w:t>.</w:t>
      </w:r>
    </w:p>
    <w:p w:rsidR="00F166E5" w:rsidRPr="00F166E5" w:rsidRDefault="00501C6E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glissement annuel, </w:t>
      </w:r>
      <w:r w:rsidRPr="00F166E5">
        <w:rPr>
          <w:rFonts w:ascii="Calibri" w:hAnsi="Calibri"/>
          <w:sz w:val="24"/>
          <w:szCs w:val="24"/>
        </w:rPr>
        <w:t xml:space="preserve">les avoirs extérieurs nets se sont accrus de 25.879,0 MBIF, soit 16,3 </w:t>
      </w:r>
      <w:r w:rsidR="008A0E8D" w:rsidRPr="00F166E5">
        <w:rPr>
          <w:rFonts w:ascii="Calibri" w:hAnsi="Calibri"/>
          <w:sz w:val="24"/>
          <w:szCs w:val="24"/>
        </w:rPr>
        <w:t>p.c.</w:t>
      </w:r>
      <w:r>
        <w:rPr>
          <w:rFonts w:ascii="Calibri" w:hAnsi="Calibri"/>
          <w:sz w:val="24"/>
          <w:szCs w:val="24"/>
        </w:rPr>
        <w:t>, p</w:t>
      </w:r>
      <w:r w:rsidR="00F166E5" w:rsidRPr="00F166E5">
        <w:rPr>
          <w:rFonts w:ascii="Calibri" w:hAnsi="Calibri"/>
          <w:sz w:val="24"/>
          <w:szCs w:val="24"/>
        </w:rPr>
        <w:t xml:space="preserve">assant de 158.893,8 à 184.772,8 MBIF de juin 2013 à juin 2014. Exprimées en dollars américains, les réserves de </w:t>
      </w:r>
      <w:r w:rsidR="00F166E5" w:rsidRPr="00F166E5">
        <w:rPr>
          <w:rFonts w:ascii="Calibri" w:hAnsi="Calibri"/>
          <w:sz w:val="24"/>
          <w:szCs w:val="24"/>
        </w:rPr>
        <w:lastRenderedPageBreak/>
        <w:t>change nettes ont également augmenté de 15,</w:t>
      </w:r>
      <w:r w:rsidR="00BC1127">
        <w:rPr>
          <w:rFonts w:ascii="Calibri" w:hAnsi="Calibri"/>
          <w:sz w:val="24"/>
          <w:szCs w:val="24"/>
        </w:rPr>
        <w:t>6</w:t>
      </w:r>
      <w:r w:rsidR="00F166E5" w:rsidRPr="00F166E5">
        <w:rPr>
          <w:rFonts w:ascii="Calibri" w:hAnsi="Calibri"/>
          <w:sz w:val="24"/>
          <w:szCs w:val="24"/>
        </w:rPr>
        <w:t xml:space="preserve"> p.c., s’établissant à 119,5 contre 103,4 millions. </w:t>
      </w:r>
    </w:p>
    <w:p w:rsidR="002D57EE" w:rsidRPr="004847AB" w:rsidRDefault="002B485E" w:rsidP="00431C96">
      <w:pPr>
        <w:pStyle w:val="Titre1"/>
        <w:spacing w:after="120"/>
        <w:rPr>
          <w:rFonts w:ascii="Calibri" w:hAnsi="Calibri"/>
          <w:b/>
          <w:color w:val="00B0F0"/>
          <w:sz w:val="24"/>
          <w:u w:val="none"/>
        </w:rPr>
      </w:pPr>
      <w:bookmarkStart w:id="41" w:name="_Toc397332837"/>
      <w:bookmarkStart w:id="42" w:name="_Toc397332958"/>
      <w:r w:rsidRPr="004847AB">
        <w:rPr>
          <w:rFonts w:ascii="Calibri" w:hAnsi="Calibri"/>
          <w:b/>
          <w:color w:val="00B0F0"/>
          <w:sz w:val="24"/>
          <w:u w:val="none"/>
        </w:rPr>
        <w:t>VI. COMMERCE EXTERIEUR</w:t>
      </w:r>
      <w:bookmarkEnd w:id="41"/>
      <w:bookmarkEnd w:id="42"/>
    </w:p>
    <w:p w:rsidR="00E57285" w:rsidRPr="002D57EE" w:rsidRDefault="00E57285" w:rsidP="00431C96">
      <w:pPr>
        <w:spacing w:after="120" w:line="240" w:lineRule="auto"/>
        <w:jc w:val="both"/>
        <w:rPr>
          <w:rFonts w:ascii="Calibri" w:hAnsi="Calibri"/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Le commerce extérieur a été caractérisé par </w:t>
      </w:r>
      <w:r w:rsidR="002D57EE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accroissement des exportations </w:t>
      </w:r>
      <w:r w:rsidR="00F02C4A">
        <w:rPr>
          <w:sz w:val="24"/>
          <w:szCs w:val="24"/>
        </w:rPr>
        <w:t xml:space="preserve">   </w:t>
      </w:r>
      <w:r>
        <w:rPr>
          <w:sz w:val="24"/>
          <w:szCs w:val="24"/>
        </w:rPr>
        <w:t>(+10,4 pc) et une réduction des importations (-13,9 p.c.) par rapport à la même période de 2013, réalisant ainsi un dé</w:t>
      </w:r>
      <w:r w:rsidR="00C36E92">
        <w:rPr>
          <w:sz w:val="24"/>
          <w:szCs w:val="24"/>
        </w:rPr>
        <w:t>ficit de la balance commerciale</w:t>
      </w:r>
      <w:r>
        <w:rPr>
          <w:sz w:val="24"/>
          <w:szCs w:val="24"/>
        </w:rPr>
        <w:t xml:space="preserve"> moins prononcé (-504</w:t>
      </w:r>
      <w:r w:rsidR="002D57EE">
        <w:rPr>
          <w:sz w:val="24"/>
          <w:szCs w:val="24"/>
        </w:rPr>
        <w:t>.</w:t>
      </w:r>
      <w:r>
        <w:rPr>
          <w:sz w:val="24"/>
          <w:szCs w:val="24"/>
        </w:rPr>
        <w:t xml:space="preserve">206,9 contre -602.175 MBIF) </w:t>
      </w:r>
    </w:p>
    <w:p w:rsidR="002B485E" w:rsidRPr="00F166E5" w:rsidRDefault="002B485E" w:rsidP="00431C96">
      <w:pPr>
        <w:pStyle w:val="Titre2"/>
        <w:spacing w:after="120"/>
        <w:rPr>
          <w:rFonts w:ascii="Calibri" w:hAnsi="Calibri"/>
          <w:b w:val="0"/>
          <w:color w:val="00B0F0"/>
          <w:sz w:val="24"/>
        </w:rPr>
      </w:pPr>
      <w:bookmarkStart w:id="43" w:name="_Toc397332838"/>
      <w:bookmarkStart w:id="44" w:name="_Toc397332959"/>
      <w:r w:rsidRPr="00F166E5">
        <w:rPr>
          <w:rFonts w:ascii="Calibri" w:hAnsi="Calibri"/>
          <w:color w:val="00B0F0"/>
          <w:sz w:val="24"/>
        </w:rPr>
        <w:t>Exportations</w:t>
      </w:r>
      <w:bookmarkEnd w:id="43"/>
      <w:bookmarkEnd w:id="44"/>
      <w:r w:rsidRPr="00F166E5">
        <w:rPr>
          <w:rFonts w:ascii="Calibri" w:hAnsi="Calibri"/>
          <w:color w:val="00B0F0"/>
          <w:sz w:val="24"/>
        </w:rPr>
        <w:t xml:space="preserve"> </w:t>
      </w:r>
    </w:p>
    <w:p w:rsidR="00E84A64" w:rsidRPr="008F469C" w:rsidRDefault="00E84A64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F469C">
        <w:rPr>
          <w:rFonts w:ascii="Calibri" w:hAnsi="Calibri"/>
          <w:sz w:val="24"/>
          <w:szCs w:val="24"/>
        </w:rPr>
        <w:t xml:space="preserve">A fin juin 2014, les exportations cumulées ont enregistré  une hausse en valeur de 5.934,5 MBIF et </w:t>
      </w:r>
      <w:r w:rsidR="00BC1127">
        <w:rPr>
          <w:rFonts w:ascii="Calibri" w:hAnsi="Calibri"/>
          <w:sz w:val="24"/>
          <w:szCs w:val="24"/>
        </w:rPr>
        <w:t xml:space="preserve">en volume </w:t>
      </w:r>
      <w:r w:rsidRPr="008F469C">
        <w:rPr>
          <w:rFonts w:ascii="Calibri" w:hAnsi="Calibri"/>
          <w:sz w:val="24"/>
          <w:szCs w:val="24"/>
        </w:rPr>
        <w:t>de 13.913 T</w:t>
      </w:r>
      <w:r w:rsidR="002D57EE">
        <w:rPr>
          <w:rFonts w:ascii="Calibri" w:hAnsi="Calibri"/>
          <w:sz w:val="24"/>
          <w:szCs w:val="24"/>
        </w:rPr>
        <w:t>,</w:t>
      </w:r>
      <w:r w:rsidRPr="008F469C">
        <w:rPr>
          <w:rFonts w:ascii="Calibri" w:hAnsi="Calibri"/>
          <w:sz w:val="24"/>
          <w:szCs w:val="24"/>
        </w:rPr>
        <w:t xml:space="preserve"> en raison principalement de l’augmentation des exportations des produits manufacturés de 9.110,0 MBIF</w:t>
      </w:r>
      <w:r w:rsidR="002D57EE">
        <w:rPr>
          <w:rFonts w:ascii="Calibri" w:hAnsi="Calibri"/>
          <w:sz w:val="24"/>
          <w:szCs w:val="24"/>
        </w:rPr>
        <w:t xml:space="preserve"> </w:t>
      </w:r>
      <w:r w:rsidRPr="008F469C">
        <w:rPr>
          <w:rFonts w:ascii="Calibri" w:hAnsi="Calibri"/>
          <w:sz w:val="24"/>
          <w:szCs w:val="24"/>
        </w:rPr>
        <w:t>et de 10.923 T</w:t>
      </w:r>
      <w:r w:rsidR="002D57EE">
        <w:rPr>
          <w:rFonts w:ascii="Calibri" w:hAnsi="Calibri"/>
          <w:sz w:val="24"/>
          <w:szCs w:val="24"/>
        </w:rPr>
        <w:t>.</w:t>
      </w:r>
    </w:p>
    <w:p w:rsidR="00E84A64" w:rsidRPr="008F469C" w:rsidRDefault="00E84A64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F469C">
        <w:rPr>
          <w:rFonts w:ascii="Calibri" w:hAnsi="Calibri"/>
          <w:sz w:val="24"/>
          <w:szCs w:val="24"/>
        </w:rPr>
        <w:t xml:space="preserve">L’augmentation des exportations des produits manufacturés </w:t>
      </w:r>
      <w:r w:rsidR="002D57EE">
        <w:rPr>
          <w:rFonts w:ascii="Calibri" w:hAnsi="Calibri"/>
          <w:sz w:val="24"/>
          <w:szCs w:val="24"/>
        </w:rPr>
        <w:t xml:space="preserve">a concerné </w:t>
      </w:r>
      <w:r w:rsidRPr="008F469C">
        <w:rPr>
          <w:rFonts w:ascii="Calibri" w:hAnsi="Calibri"/>
          <w:sz w:val="24"/>
          <w:szCs w:val="24"/>
        </w:rPr>
        <w:t xml:space="preserve">la bière (+1.689,6 MBIF et +3.015 T) et </w:t>
      </w:r>
      <w:r w:rsidR="002D57EE">
        <w:rPr>
          <w:rFonts w:ascii="Calibri" w:hAnsi="Calibri"/>
          <w:sz w:val="24"/>
          <w:szCs w:val="24"/>
        </w:rPr>
        <w:t>l</w:t>
      </w:r>
      <w:r w:rsidRPr="008F469C">
        <w:rPr>
          <w:rFonts w:ascii="Calibri" w:hAnsi="Calibri"/>
          <w:sz w:val="24"/>
          <w:szCs w:val="24"/>
        </w:rPr>
        <w:t>es autres biens (+6.214,2 MBIF et + 8.194 T).</w:t>
      </w:r>
    </w:p>
    <w:p w:rsidR="00E84A64" w:rsidRPr="008F469C" w:rsidRDefault="00E84A64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AC3E3C">
        <w:rPr>
          <w:rFonts w:ascii="Calibri" w:hAnsi="Calibri"/>
          <w:sz w:val="24"/>
          <w:szCs w:val="24"/>
        </w:rPr>
        <w:t>En revanche,</w:t>
      </w:r>
      <w:r w:rsidR="00AC3E3C">
        <w:rPr>
          <w:rFonts w:ascii="Calibri" w:hAnsi="Calibri"/>
          <w:sz w:val="24"/>
          <w:szCs w:val="24"/>
        </w:rPr>
        <w:t xml:space="preserve"> </w:t>
      </w:r>
      <w:r w:rsidRPr="00AC3E3C">
        <w:rPr>
          <w:rFonts w:ascii="Calibri" w:hAnsi="Calibri"/>
          <w:sz w:val="24"/>
          <w:szCs w:val="24"/>
        </w:rPr>
        <w:t>les exportations des produits primaires ont diminué</w:t>
      </w:r>
      <w:r w:rsidR="00FD780A">
        <w:rPr>
          <w:rFonts w:ascii="Calibri" w:hAnsi="Calibri"/>
          <w:sz w:val="24"/>
          <w:szCs w:val="24"/>
        </w:rPr>
        <w:t xml:space="preserve"> (-</w:t>
      </w:r>
      <w:r w:rsidRPr="00AC3E3C">
        <w:rPr>
          <w:rFonts w:ascii="Calibri" w:hAnsi="Calibri"/>
          <w:sz w:val="24"/>
          <w:szCs w:val="24"/>
        </w:rPr>
        <w:t>3.175,6 MBIF</w:t>
      </w:r>
      <w:r w:rsidR="00FD780A">
        <w:rPr>
          <w:rFonts w:ascii="Calibri" w:hAnsi="Calibri"/>
          <w:sz w:val="24"/>
          <w:szCs w:val="24"/>
        </w:rPr>
        <w:t>)</w:t>
      </w:r>
      <w:r w:rsidRPr="00AC3E3C">
        <w:rPr>
          <w:rFonts w:ascii="Calibri" w:hAnsi="Calibri"/>
          <w:sz w:val="24"/>
          <w:szCs w:val="24"/>
        </w:rPr>
        <w:t xml:space="preserve"> en valeur alors qu’elles se sont accrues</w:t>
      </w:r>
      <w:r w:rsidR="00FD780A">
        <w:rPr>
          <w:rFonts w:ascii="Calibri" w:hAnsi="Calibri"/>
          <w:sz w:val="24"/>
          <w:szCs w:val="24"/>
        </w:rPr>
        <w:t xml:space="preserve"> (+</w:t>
      </w:r>
      <w:r w:rsidR="00FD780A" w:rsidRPr="00AC3E3C">
        <w:rPr>
          <w:rFonts w:ascii="Calibri" w:hAnsi="Calibri"/>
          <w:sz w:val="24"/>
          <w:szCs w:val="24"/>
        </w:rPr>
        <w:t>1.989</w:t>
      </w:r>
      <w:r w:rsidR="00FD780A">
        <w:rPr>
          <w:rFonts w:ascii="Calibri" w:hAnsi="Calibri"/>
          <w:sz w:val="24"/>
          <w:szCs w:val="24"/>
        </w:rPr>
        <w:t xml:space="preserve"> </w:t>
      </w:r>
      <w:r w:rsidR="00FD780A" w:rsidRPr="00AC3E3C">
        <w:rPr>
          <w:rFonts w:ascii="Calibri" w:hAnsi="Calibri"/>
          <w:sz w:val="24"/>
          <w:szCs w:val="24"/>
        </w:rPr>
        <w:t>T</w:t>
      </w:r>
      <w:r w:rsidR="00FD780A">
        <w:rPr>
          <w:rFonts w:ascii="Calibri" w:hAnsi="Calibri"/>
          <w:sz w:val="24"/>
          <w:szCs w:val="24"/>
        </w:rPr>
        <w:t xml:space="preserve">) </w:t>
      </w:r>
      <w:r w:rsidRPr="00AC3E3C">
        <w:rPr>
          <w:rFonts w:ascii="Calibri" w:hAnsi="Calibri"/>
          <w:sz w:val="24"/>
          <w:szCs w:val="24"/>
        </w:rPr>
        <w:t>en volume en raison essentiellement des exportations du thé (</w:t>
      </w:r>
      <w:r w:rsidR="00AC3E3C" w:rsidRPr="00AC3E3C">
        <w:rPr>
          <w:rFonts w:ascii="Calibri" w:hAnsi="Calibri"/>
          <w:sz w:val="24"/>
          <w:szCs w:val="24"/>
        </w:rPr>
        <w:t>+</w:t>
      </w:r>
      <w:r w:rsidRPr="00AC3E3C">
        <w:rPr>
          <w:rFonts w:ascii="Calibri" w:hAnsi="Calibri"/>
          <w:sz w:val="24"/>
          <w:szCs w:val="24"/>
        </w:rPr>
        <w:t>753 T) et</w:t>
      </w:r>
      <w:r w:rsidR="00AC3E3C" w:rsidRPr="00AC3E3C">
        <w:rPr>
          <w:rFonts w:ascii="Calibri" w:hAnsi="Calibri"/>
          <w:sz w:val="24"/>
          <w:szCs w:val="24"/>
        </w:rPr>
        <w:t xml:space="preserve"> des autres biens (+2.950</w:t>
      </w:r>
      <w:r w:rsidRPr="00AC3E3C">
        <w:rPr>
          <w:rFonts w:ascii="Calibri" w:hAnsi="Calibri"/>
          <w:sz w:val="24"/>
          <w:szCs w:val="24"/>
        </w:rPr>
        <w:t xml:space="preserve"> T).</w:t>
      </w:r>
    </w:p>
    <w:p w:rsidR="00E84A64" w:rsidRPr="008F469C" w:rsidRDefault="00E84A64" w:rsidP="00431C96">
      <w:pPr>
        <w:pStyle w:val="Titre2"/>
        <w:spacing w:after="120"/>
        <w:rPr>
          <w:rFonts w:ascii="Calibri" w:hAnsi="Calibri"/>
          <w:color w:val="00B0F0"/>
          <w:sz w:val="24"/>
        </w:rPr>
      </w:pPr>
      <w:bookmarkStart w:id="45" w:name="_Toc397332839"/>
      <w:bookmarkStart w:id="46" w:name="_Toc397332960"/>
      <w:r w:rsidRPr="008F469C">
        <w:rPr>
          <w:rFonts w:ascii="Calibri" w:hAnsi="Calibri"/>
          <w:color w:val="00B0F0"/>
          <w:sz w:val="24"/>
        </w:rPr>
        <w:t>Importations</w:t>
      </w:r>
      <w:bookmarkEnd w:id="45"/>
      <w:bookmarkEnd w:id="46"/>
    </w:p>
    <w:p w:rsidR="00E84A64" w:rsidRPr="008F469C" w:rsidRDefault="00E84A64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F469C">
        <w:rPr>
          <w:rFonts w:ascii="Calibri" w:hAnsi="Calibri"/>
          <w:sz w:val="24"/>
          <w:szCs w:val="24"/>
        </w:rPr>
        <w:t>La valeur cumulée des importations à fin juin 2014 a enregistré une baisse de 92.033,7 MBIF, revenant de 658.972,0 à 566.938,3 MBIF</w:t>
      </w:r>
      <w:r w:rsidR="00AC3E3C">
        <w:rPr>
          <w:rFonts w:ascii="Calibri" w:hAnsi="Calibri"/>
          <w:sz w:val="24"/>
          <w:szCs w:val="24"/>
        </w:rPr>
        <w:t>,</w:t>
      </w:r>
      <w:r w:rsidRPr="008F469C">
        <w:rPr>
          <w:rFonts w:ascii="Calibri" w:hAnsi="Calibri"/>
          <w:sz w:val="24"/>
          <w:szCs w:val="24"/>
        </w:rPr>
        <w:t xml:space="preserve"> suite à la diminution des importations des matières premières </w:t>
      </w:r>
      <w:r w:rsidR="00C92EC9">
        <w:rPr>
          <w:rFonts w:ascii="Calibri" w:hAnsi="Calibri"/>
          <w:sz w:val="24"/>
          <w:szCs w:val="24"/>
        </w:rPr>
        <w:t xml:space="preserve">     </w:t>
      </w:r>
      <w:r w:rsidR="00FD780A">
        <w:rPr>
          <w:rFonts w:ascii="Calibri" w:hAnsi="Calibri"/>
          <w:sz w:val="24"/>
          <w:szCs w:val="24"/>
        </w:rPr>
        <w:t xml:space="preserve">   </w:t>
      </w:r>
      <w:r w:rsidR="00C92EC9">
        <w:rPr>
          <w:rFonts w:ascii="Calibri" w:hAnsi="Calibri"/>
          <w:sz w:val="24"/>
          <w:szCs w:val="24"/>
        </w:rPr>
        <w:t xml:space="preserve">  </w:t>
      </w:r>
      <w:r w:rsidRPr="008F469C">
        <w:rPr>
          <w:rFonts w:ascii="Calibri" w:hAnsi="Calibri"/>
          <w:sz w:val="24"/>
          <w:szCs w:val="24"/>
        </w:rPr>
        <w:t>(-22.949,5 MBIF), des biens d’équipement (-48.351,3 MBIF) et de consommation</w:t>
      </w:r>
      <w:r w:rsidR="00AC3E3C">
        <w:rPr>
          <w:rFonts w:ascii="Calibri" w:hAnsi="Calibri"/>
          <w:sz w:val="24"/>
          <w:szCs w:val="24"/>
        </w:rPr>
        <w:t xml:space="preserve">    </w:t>
      </w:r>
      <w:r w:rsidR="00FD780A">
        <w:rPr>
          <w:rFonts w:ascii="Calibri" w:hAnsi="Calibri"/>
          <w:sz w:val="24"/>
          <w:szCs w:val="24"/>
        </w:rPr>
        <w:t xml:space="preserve">  </w:t>
      </w:r>
      <w:r w:rsidR="00AC3E3C">
        <w:rPr>
          <w:rFonts w:ascii="Calibri" w:hAnsi="Calibri"/>
          <w:sz w:val="24"/>
          <w:szCs w:val="24"/>
        </w:rPr>
        <w:t xml:space="preserve">   </w:t>
      </w:r>
      <w:r w:rsidRPr="008F469C">
        <w:rPr>
          <w:rFonts w:ascii="Calibri" w:hAnsi="Calibri"/>
          <w:sz w:val="24"/>
          <w:szCs w:val="24"/>
        </w:rPr>
        <w:t>(-20.732,9 MBIF).</w:t>
      </w:r>
    </w:p>
    <w:p w:rsidR="00E84A64" w:rsidRPr="008F469C" w:rsidRDefault="00E84A64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F469C">
        <w:rPr>
          <w:rFonts w:ascii="Calibri" w:hAnsi="Calibri"/>
          <w:sz w:val="24"/>
          <w:szCs w:val="24"/>
        </w:rPr>
        <w:t xml:space="preserve">La </w:t>
      </w:r>
      <w:r w:rsidR="00AC3E3C">
        <w:rPr>
          <w:rFonts w:ascii="Calibri" w:hAnsi="Calibri"/>
          <w:sz w:val="24"/>
          <w:szCs w:val="24"/>
        </w:rPr>
        <w:t>diminution</w:t>
      </w:r>
      <w:r w:rsidRPr="008F469C">
        <w:rPr>
          <w:rFonts w:ascii="Calibri" w:hAnsi="Calibri"/>
          <w:sz w:val="24"/>
          <w:szCs w:val="24"/>
        </w:rPr>
        <w:t xml:space="preserve"> de la valeur des importations des matières premières a concerné les </w:t>
      </w:r>
      <w:r w:rsidR="00AC3E3C">
        <w:rPr>
          <w:rFonts w:ascii="Calibri" w:hAnsi="Calibri"/>
          <w:sz w:val="24"/>
          <w:szCs w:val="24"/>
        </w:rPr>
        <w:t>biens</w:t>
      </w:r>
      <w:r w:rsidRPr="008F469C">
        <w:rPr>
          <w:rFonts w:ascii="Calibri" w:hAnsi="Calibri"/>
          <w:sz w:val="24"/>
          <w:szCs w:val="24"/>
        </w:rPr>
        <w:t xml:space="preserve"> destinés aux industries de construction (-5.717,6 MBIF), métallurgique (-4.138,2 MBIF), chimique </w:t>
      </w:r>
      <w:r w:rsidR="00FD780A">
        <w:rPr>
          <w:rFonts w:ascii="Calibri" w:hAnsi="Calibri"/>
          <w:sz w:val="24"/>
          <w:szCs w:val="24"/>
        </w:rPr>
        <w:t xml:space="preserve">  </w:t>
      </w:r>
      <w:r w:rsidRPr="008F469C">
        <w:rPr>
          <w:rFonts w:ascii="Calibri" w:hAnsi="Calibri"/>
          <w:sz w:val="24"/>
          <w:szCs w:val="24"/>
        </w:rPr>
        <w:t xml:space="preserve">  (-4.502,9 MBIF), agro-alimentaire (-2.134,5 </w:t>
      </w:r>
      <w:r w:rsidRPr="008F469C">
        <w:rPr>
          <w:rFonts w:ascii="Calibri" w:hAnsi="Calibri"/>
          <w:sz w:val="24"/>
          <w:szCs w:val="24"/>
        </w:rPr>
        <w:lastRenderedPageBreak/>
        <w:t xml:space="preserve">MBIF), textile (-1.673,3 MBIF) </w:t>
      </w:r>
      <w:r w:rsidR="00C92EC9">
        <w:rPr>
          <w:rFonts w:ascii="Calibri" w:hAnsi="Calibri"/>
          <w:sz w:val="24"/>
          <w:szCs w:val="24"/>
        </w:rPr>
        <w:t>ainsi que</w:t>
      </w:r>
      <w:r w:rsidRPr="008F469C">
        <w:rPr>
          <w:rFonts w:ascii="Calibri" w:hAnsi="Calibri"/>
          <w:sz w:val="24"/>
          <w:szCs w:val="24"/>
        </w:rPr>
        <w:t xml:space="preserve"> les produits pétroliers (-7.700,6 MBIF).</w:t>
      </w:r>
    </w:p>
    <w:p w:rsidR="00E84A64" w:rsidRPr="008F469C" w:rsidRDefault="00AC3E3C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E84A64" w:rsidRPr="008F469C">
        <w:rPr>
          <w:rFonts w:ascii="Calibri" w:hAnsi="Calibri"/>
          <w:sz w:val="24"/>
          <w:szCs w:val="24"/>
        </w:rPr>
        <w:t xml:space="preserve">a diminution </w:t>
      </w:r>
      <w:r>
        <w:rPr>
          <w:rFonts w:ascii="Calibri" w:hAnsi="Calibri"/>
          <w:sz w:val="24"/>
          <w:szCs w:val="24"/>
        </w:rPr>
        <w:t xml:space="preserve">de la valeur des importations </w:t>
      </w:r>
      <w:r w:rsidRPr="008F469C">
        <w:rPr>
          <w:rFonts w:ascii="Calibri" w:hAnsi="Calibri"/>
          <w:sz w:val="24"/>
          <w:szCs w:val="24"/>
        </w:rPr>
        <w:t xml:space="preserve">des biens d’équipement </w:t>
      </w:r>
      <w:r>
        <w:rPr>
          <w:rFonts w:ascii="Calibri" w:hAnsi="Calibri"/>
          <w:sz w:val="24"/>
          <w:szCs w:val="24"/>
        </w:rPr>
        <w:t xml:space="preserve">a porté </w:t>
      </w:r>
      <w:r w:rsidR="00C92EC9">
        <w:rPr>
          <w:rFonts w:ascii="Calibri" w:hAnsi="Calibri"/>
          <w:sz w:val="24"/>
          <w:szCs w:val="24"/>
        </w:rPr>
        <w:t>sur l</w:t>
      </w:r>
      <w:r w:rsidR="00E84A64" w:rsidRPr="008F469C">
        <w:rPr>
          <w:rFonts w:ascii="Calibri" w:hAnsi="Calibri"/>
          <w:sz w:val="24"/>
          <w:szCs w:val="24"/>
        </w:rPr>
        <w:t>es « chaudières et engins mécaniques »</w:t>
      </w:r>
      <w:r w:rsidR="00FD780A"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 xml:space="preserve"> </w:t>
      </w:r>
      <w:r w:rsidR="00E84A64" w:rsidRPr="008F469C">
        <w:rPr>
          <w:rFonts w:ascii="Calibri" w:hAnsi="Calibri"/>
          <w:sz w:val="24"/>
          <w:szCs w:val="24"/>
        </w:rPr>
        <w:t>(-24.896,8 MBIF) et</w:t>
      </w:r>
      <w:r w:rsidR="008442A7">
        <w:rPr>
          <w:rFonts w:ascii="Calibri" w:hAnsi="Calibri"/>
          <w:sz w:val="24"/>
          <w:szCs w:val="24"/>
        </w:rPr>
        <w:t xml:space="preserve"> sur</w:t>
      </w:r>
      <w:r w:rsidR="00E84A64" w:rsidRPr="008F469C">
        <w:rPr>
          <w:rFonts w:ascii="Calibri" w:hAnsi="Calibri"/>
          <w:sz w:val="24"/>
          <w:szCs w:val="24"/>
        </w:rPr>
        <w:t xml:space="preserve"> </w:t>
      </w:r>
      <w:r w:rsidR="00C92EC9">
        <w:rPr>
          <w:rFonts w:ascii="Calibri" w:hAnsi="Calibri"/>
          <w:sz w:val="24"/>
          <w:szCs w:val="24"/>
        </w:rPr>
        <w:t>l</w:t>
      </w:r>
      <w:r w:rsidR="00E84A64" w:rsidRPr="008F469C">
        <w:rPr>
          <w:rFonts w:ascii="Calibri" w:hAnsi="Calibri"/>
          <w:sz w:val="24"/>
          <w:szCs w:val="24"/>
        </w:rPr>
        <w:t>es « Tracteurs, véhicules et engins de transport »</w:t>
      </w:r>
      <w:r w:rsidR="00C92EC9">
        <w:rPr>
          <w:rFonts w:ascii="Calibri" w:hAnsi="Calibri"/>
          <w:sz w:val="24"/>
          <w:szCs w:val="24"/>
        </w:rPr>
        <w:t xml:space="preserve"> </w:t>
      </w:r>
      <w:r w:rsidR="00FD780A">
        <w:rPr>
          <w:rFonts w:ascii="Calibri" w:hAnsi="Calibri"/>
          <w:sz w:val="24"/>
          <w:szCs w:val="24"/>
        </w:rPr>
        <w:t xml:space="preserve">              </w:t>
      </w:r>
      <w:r w:rsidR="00E84A64" w:rsidRPr="008F469C">
        <w:rPr>
          <w:rFonts w:ascii="Calibri" w:hAnsi="Calibri"/>
          <w:sz w:val="24"/>
          <w:szCs w:val="24"/>
        </w:rPr>
        <w:t>(-51.574,4 MBIF).</w:t>
      </w:r>
    </w:p>
    <w:p w:rsidR="00E84A64" w:rsidRPr="008F469C" w:rsidRDefault="00C92EC9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E84A64" w:rsidRPr="008F469C">
        <w:rPr>
          <w:rFonts w:ascii="Calibri" w:hAnsi="Calibri"/>
          <w:sz w:val="24"/>
          <w:szCs w:val="24"/>
        </w:rPr>
        <w:t>a contraction de</w:t>
      </w:r>
      <w:r w:rsidR="008442A7">
        <w:rPr>
          <w:rFonts w:ascii="Calibri" w:hAnsi="Calibri"/>
          <w:sz w:val="24"/>
          <w:szCs w:val="24"/>
        </w:rPr>
        <w:t xml:space="preserve"> la valeur de</w:t>
      </w:r>
      <w:r w:rsidR="00E84A64" w:rsidRPr="008F469C">
        <w:rPr>
          <w:rFonts w:ascii="Calibri" w:hAnsi="Calibri"/>
          <w:sz w:val="24"/>
          <w:szCs w:val="24"/>
        </w:rPr>
        <w:t>s importations des biens de consommation a résulté de la chute des importations de biens non durables (-77.583,3 MBIIF)</w:t>
      </w:r>
      <w:r>
        <w:rPr>
          <w:rFonts w:ascii="Calibri" w:hAnsi="Calibri"/>
          <w:sz w:val="24"/>
          <w:szCs w:val="24"/>
        </w:rPr>
        <w:t>,</w:t>
      </w:r>
      <w:r w:rsidR="00E84A64" w:rsidRPr="008F469C">
        <w:rPr>
          <w:rFonts w:ascii="Calibri" w:hAnsi="Calibri"/>
          <w:sz w:val="24"/>
          <w:szCs w:val="24"/>
        </w:rPr>
        <w:t xml:space="preserve"> notamment les produits alimentaires </w:t>
      </w:r>
      <w:r w:rsidR="008442A7">
        <w:rPr>
          <w:rFonts w:ascii="Calibri" w:hAnsi="Calibri"/>
          <w:sz w:val="24"/>
          <w:szCs w:val="24"/>
        </w:rPr>
        <w:t xml:space="preserve">      </w:t>
      </w:r>
      <w:r w:rsidR="00FD780A">
        <w:rPr>
          <w:rFonts w:ascii="Calibri" w:hAnsi="Calibri"/>
          <w:sz w:val="24"/>
          <w:szCs w:val="24"/>
        </w:rPr>
        <w:t xml:space="preserve">  </w:t>
      </w:r>
      <w:r w:rsidR="008442A7">
        <w:rPr>
          <w:rFonts w:ascii="Calibri" w:hAnsi="Calibri"/>
          <w:sz w:val="24"/>
          <w:szCs w:val="24"/>
        </w:rPr>
        <w:t xml:space="preserve">  </w:t>
      </w:r>
      <w:r w:rsidR="00E84A64" w:rsidRPr="008F469C">
        <w:rPr>
          <w:rFonts w:ascii="Calibri" w:hAnsi="Calibri"/>
          <w:sz w:val="24"/>
          <w:szCs w:val="24"/>
        </w:rPr>
        <w:t>(-74.670,3 MBIF)</w:t>
      </w:r>
      <w:r>
        <w:rPr>
          <w:rFonts w:ascii="Calibri" w:hAnsi="Calibri"/>
          <w:sz w:val="24"/>
          <w:szCs w:val="24"/>
        </w:rPr>
        <w:t>,</w:t>
      </w:r>
      <w:r w:rsidR="00E84A64" w:rsidRPr="008F469C">
        <w:rPr>
          <w:rFonts w:ascii="Calibri" w:hAnsi="Calibri"/>
          <w:sz w:val="24"/>
          <w:szCs w:val="24"/>
        </w:rPr>
        <w:t xml:space="preserve"> qui </w:t>
      </w:r>
      <w:r>
        <w:rPr>
          <w:rFonts w:ascii="Calibri" w:hAnsi="Calibri"/>
          <w:sz w:val="24"/>
          <w:szCs w:val="24"/>
        </w:rPr>
        <w:t>a</w:t>
      </w:r>
      <w:r w:rsidR="00E84A64" w:rsidRPr="008F469C">
        <w:rPr>
          <w:rFonts w:ascii="Calibri" w:hAnsi="Calibri"/>
          <w:sz w:val="24"/>
          <w:szCs w:val="24"/>
        </w:rPr>
        <w:t xml:space="preserve"> contrebalancé la hausse </w:t>
      </w:r>
      <w:r w:rsidR="008442A7">
        <w:rPr>
          <w:rFonts w:ascii="Calibri" w:hAnsi="Calibri"/>
          <w:sz w:val="24"/>
          <w:szCs w:val="24"/>
        </w:rPr>
        <w:t xml:space="preserve">des approvisionnements en </w:t>
      </w:r>
      <w:r w:rsidR="00E84A64" w:rsidRPr="008F469C">
        <w:rPr>
          <w:rFonts w:ascii="Calibri" w:hAnsi="Calibri"/>
          <w:sz w:val="24"/>
          <w:szCs w:val="24"/>
        </w:rPr>
        <w:t xml:space="preserve">biens durables (+55.850,4 MBIF).  </w:t>
      </w:r>
    </w:p>
    <w:p w:rsidR="00E84A64" w:rsidRPr="008F469C" w:rsidRDefault="00C92EC9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sa part, l</w:t>
      </w:r>
      <w:r w:rsidR="00E84A64" w:rsidRPr="008F469C">
        <w:rPr>
          <w:rFonts w:ascii="Calibri" w:hAnsi="Calibri"/>
          <w:sz w:val="24"/>
          <w:szCs w:val="24"/>
        </w:rPr>
        <w:t xml:space="preserve">e volume des importations </w:t>
      </w:r>
      <w:r>
        <w:rPr>
          <w:rFonts w:ascii="Calibri" w:hAnsi="Calibri"/>
          <w:sz w:val="24"/>
          <w:szCs w:val="24"/>
        </w:rPr>
        <w:t>s’est</w:t>
      </w:r>
      <w:r w:rsidR="00E84A64" w:rsidRPr="008F469C">
        <w:rPr>
          <w:rFonts w:ascii="Calibri" w:hAnsi="Calibri"/>
          <w:sz w:val="24"/>
          <w:szCs w:val="24"/>
        </w:rPr>
        <w:t xml:space="preserve"> accru de 39.518 T, en rapport essentiellement avec la hausse du volume des importations des biens de consommation (+46.146 T) et</w:t>
      </w:r>
      <w:r>
        <w:rPr>
          <w:rFonts w:ascii="Calibri" w:hAnsi="Calibri"/>
          <w:sz w:val="24"/>
          <w:szCs w:val="24"/>
        </w:rPr>
        <w:t>,</w:t>
      </w:r>
      <w:r w:rsidR="00E84A64" w:rsidRPr="008F469C">
        <w:rPr>
          <w:rFonts w:ascii="Calibri" w:hAnsi="Calibri"/>
          <w:sz w:val="24"/>
          <w:szCs w:val="24"/>
        </w:rPr>
        <w:t xml:space="preserve"> </w:t>
      </w:r>
      <w:r w:rsidRPr="008F469C">
        <w:rPr>
          <w:rFonts w:ascii="Calibri" w:hAnsi="Calibri"/>
          <w:sz w:val="24"/>
          <w:szCs w:val="24"/>
        </w:rPr>
        <w:t>dans une moindre mesure</w:t>
      </w:r>
      <w:r w:rsidR="00554E19">
        <w:rPr>
          <w:rFonts w:ascii="Calibri" w:hAnsi="Calibri"/>
          <w:sz w:val="24"/>
          <w:szCs w:val="24"/>
        </w:rPr>
        <w:t>,</w:t>
      </w:r>
      <w:r w:rsidRPr="008F469C">
        <w:rPr>
          <w:rFonts w:ascii="Calibri" w:hAnsi="Calibri"/>
          <w:sz w:val="24"/>
          <w:szCs w:val="24"/>
        </w:rPr>
        <w:t xml:space="preserve"> </w:t>
      </w:r>
      <w:r w:rsidR="00E84A64" w:rsidRPr="008F469C">
        <w:rPr>
          <w:rFonts w:ascii="Calibri" w:hAnsi="Calibri"/>
          <w:sz w:val="24"/>
          <w:szCs w:val="24"/>
        </w:rPr>
        <w:t>des biens d’équipeme</w:t>
      </w:r>
      <w:r w:rsidR="00F64B1A">
        <w:rPr>
          <w:rFonts w:ascii="Calibri" w:hAnsi="Calibri"/>
          <w:sz w:val="24"/>
          <w:szCs w:val="24"/>
        </w:rPr>
        <w:t>nt (+</w:t>
      </w:r>
      <w:r w:rsidR="00E84A64" w:rsidRPr="008F469C">
        <w:rPr>
          <w:rFonts w:ascii="Calibri" w:hAnsi="Calibri"/>
          <w:sz w:val="24"/>
          <w:szCs w:val="24"/>
        </w:rPr>
        <w:t>317 T).</w:t>
      </w:r>
      <w:r w:rsidR="008442A7">
        <w:rPr>
          <w:rFonts w:ascii="Calibri" w:hAnsi="Calibri"/>
          <w:sz w:val="24"/>
          <w:szCs w:val="24"/>
        </w:rPr>
        <w:t xml:space="preserve"> </w:t>
      </w:r>
      <w:r w:rsidR="00E84A64" w:rsidRPr="008F469C">
        <w:rPr>
          <w:rFonts w:ascii="Calibri" w:hAnsi="Calibri"/>
          <w:sz w:val="24"/>
          <w:szCs w:val="24"/>
        </w:rPr>
        <w:t xml:space="preserve">Par contre, le volume des importations des matières premières destinées à la production des biens finis s’est contracté de 6.946 T. </w:t>
      </w:r>
    </w:p>
    <w:p w:rsidR="00E84A64" w:rsidRPr="008F469C" w:rsidRDefault="00E84A64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F469C">
        <w:rPr>
          <w:rFonts w:ascii="Calibri" w:hAnsi="Calibri"/>
          <w:sz w:val="24"/>
          <w:szCs w:val="24"/>
        </w:rPr>
        <w:t xml:space="preserve">Comparées au mois précédent, les importations ont </w:t>
      </w:r>
      <w:r w:rsidR="008A0E8D">
        <w:rPr>
          <w:rFonts w:ascii="Calibri" w:hAnsi="Calibri"/>
          <w:sz w:val="24"/>
          <w:szCs w:val="24"/>
        </w:rPr>
        <w:t>augmenté</w:t>
      </w:r>
      <w:r w:rsidRPr="008F469C">
        <w:rPr>
          <w:rFonts w:ascii="Calibri" w:hAnsi="Calibri"/>
          <w:sz w:val="24"/>
          <w:szCs w:val="24"/>
        </w:rPr>
        <w:t xml:space="preserve"> tant en valeur qu’en volume, passant respectivement de 94.561,9 à 105.305,3 MBIF et </w:t>
      </w:r>
      <w:r w:rsidR="008A0E8D">
        <w:rPr>
          <w:rFonts w:ascii="Calibri" w:hAnsi="Calibri"/>
          <w:sz w:val="24"/>
          <w:szCs w:val="24"/>
        </w:rPr>
        <w:t xml:space="preserve">de </w:t>
      </w:r>
      <w:r w:rsidRPr="008F469C">
        <w:rPr>
          <w:rFonts w:ascii="Calibri" w:hAnsi="Calibri"/>
          <w:sz w:val="24"/>
          <w:szCs w:val="24"/>
        </w:rPr>
        <w:t>52.236 à 66.450 T.</w:t>
      </w:r>
    </w:p>
    <w:p w:rsidR="00E84A64" w:rsidRPr="004847AB" w:rsidRDefault="00E84A64" w:rsidP="00431C96">
      <w:pPr>
        <w:pStyle w:val="Titre1"/>
        <w:spacing w:after="120"/>
        <w:rPr>
          <w:rFonts w:ascii="Calibri" w:hAnsi="Calibri"/>
          <w:b/>
          <w:color w:val="00B0F0"/>
          <w:sz w:val="24"/>
          <w:u w:val="none"/>
        </w:rPr>
      </w:pPr>
      <w:bookmarkStart w:id="47" w:name="_Toc397332840"/>
      <w:bookmarkStart w:id="48" w:name="_Toc397332961"/>
      <w:r w:rsidRPr="004847AB">
        <w:rPr>
          <w:rFonts w:ascii="Calibri" w:hAnsi="Calibri"/>
          <w:b/>
          <w:color w:val="00B0F0"/>
          <w:sz w:val="24"/>
          <w:u w:val="none"/>
        </w:rPr>
        <w:t>VII. TAUX DE CHANGE</w:t>
      </w:r>
      <w:bookmarkEnd w:id="47"/>
      <w:bookmarkEnd w:id="48"/>
      <w:r w:rsidRPr="004847AB">
        <w:rPr>
          <w:rFonts w:ascii="Calibri" w:hAnsi="Calibri"/>
          <w:b/>
          <w:color w:val="00B0F0"/>
          <w:sz w:val="24"/>
          <w:u w:val="none"/>
        </w:rPr>
        <w:t xml:space="preserve"> </w:t>
      </w:r>
    </w:p>
    <w:p w:rsidR="00E84A64" w:rsidRPr="008F469C" w:rsidRDefault="00E84A64" w:rsidP="00431C9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F469C">
        <w:rPr>
          <w:rFonts w:ascii="Calibri" w:hAnsi="Calibri"/>
          <w:sz w:val="24"/>
          <w:szCs w:val="24"/>
        </w:rPr>
        <w:t>Le taux de change moyen du mois de juin 2014 s’est établi à 1.546,43 contre 1.537,63 BIF pour un dollar américain à la même période de l’année précédente, soit  une dépréciation de 0,57 p.c.</w:t>
      </w:r>
    </w:p>
    <w:p w:rsidR="00E84A64" w:rsidRDefault="00604022" w:rsidP="00431C96">
      <w:pPr>
        <w:pStyle w:val="Titre"/>
        <w:spacing w:after="120"/>
        <w:jc w:val="both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A fin juin 2014</w:t>
      </w:r>
      <w:r w:rsidR="00E84A64" w:rsidRPr="008F469C">
        <w:rPr>
          <w:rFonts w:ascii="Calibri" w:hAnsi="Calibri"/>
          <w:b w:val="0"/>
          <w:u w:val="none"/>
        </w:rPr>
        <w:t xml:space="preserve">, </w:t>
      </w:r>
      <w:r>
        <w:rPr>
          <w:rFonts w:ascii="Calibri" w:hAnsi="Calibri"/>
          <w:b w:val="0"/>
          <w:u w:val="none"/>
        </w:rPr>
        <w:t>le taux du BIF n’a presque pas changé, s’établissant à 1</w:t>
      </w:r>
      <w:r w:rsidR="00E84A64" w:rsidRPr="008F469C">
        <w:rPr>
          <w:rFonts w:ascii="Calibri" w:hAnsi="Calibri"/>
          <w:b w:val="0"/>
          <w:u w:val="none"/>
        </w:rPr>
        <w:t>.546,61 contre 1.5</w:t>
      </w:r>
      <w:r>
        <w:rPr>
          <w:rFonts w:ascii="Calibri" w:hAnsi="Calibri"/>
          <w:b w:val="0"/>
          <w:u w:val="none"/>
        </w:rPr>
        <w:t>4</w:t>
      </w:r>
      <w:r w:rsidR="00E84A64" w:rsidRPr="008F469C">
        <w:rPr>
          <w:rFonts w:ascii="Calibri" w:hAnsi="Calibri"/>
          <w:b w:val="0"/>
          <w:u w:val="none"/>
        </w:rPr>
        <w:t>6,</w:t>
      </w:r>
      <w:r>
        <w:rPr>
          <w:rFonts w:ascii="Calibri" w:hAnsi="Calibri"/>
          <w:b w:val="0"/>
          <w:u w:val="none"/>
        </w:rPr>
        <w:t>4</w:t>
      </w:r>
      <w:r w:rsidR="008A0E8D">
        <w:rPr>
          <w:rFonts w:ascii="Calibri" w:hAnsi="Calibri"/>
          <w:b w:val="0"/>
          <w:u w:val="none"/>
        </w:rPr>
        <w:t xml:space="preserve"> </w:t>
      </w:r>
      <w:r>
        <w:rPr>
          <w:rFonts w:ascii="Calibri" w:hAnsi="Calibri"/>
          <w:b w:val="0"/>
          <w:u w:val="none"/>
        </w:rPr>
        <w:t xml:space="preserve">BIF pour un dollar américain </w:t>
      </w:r>
      <w:r w:rsidR="00E84A64" w:rsidRPr="008F469C">
        <w:rPr>
          <w:rFonts w:ascii="Calibri" w:hAnsi="Calibri"/>
          <w:b w:val="0"/>
          <w:u w:val="none"/>
        </w:rPr>
        <w:t xml:space="preserve">à la </w:t>
      </w:r>
      <w:r>
        <w:rPr>
          <w:rFonts w:ascii="Calibri" w:hAnsi="Calibri"/>
          <w:b w:val="0"/>
          <w:u w:val="none"/>
        </w:rPr>
        <w:t xml:space="preserve">fin de la </w:t>
      </w:r>
      <w:r w:rsidR="00E84A64" w:rsidRPr="008F469C">
        <w:rPr>
          <w:rFonts w:ascii="Calibri" w:hAnsi="Calibri"/>
          <w:b w:val="0"/>
          <w:u w:val="none"/>
        </w:rPr>
        <w:t>même période de l’année précédente</w:t>
      </w:r>
      <w:r>
        <w:rPr>
          <w:rFonts w:ascii="Calibri" w:hAnsi="Calibri"/>
          <w:b w:val="0"/>
          <w:u w:val="none"/>
        </w:rPr>
        <w:t>.</w:t>
      </w:r>
    </w:p>
    <w:p w:rsidR="008C2694" w:rsidRDefault="008C2694" w:rsidP="00431C96">
      <w:pPr>
        <w:pStyle w:val="Titre"/>
        <w:spacing w:after="120"/>
        <w:jc w:val="both"/>
        <w:rPr>
          <w:rFonts w:ascii="Calibri" w:hAnsi="Calibri"/>
          <w:b w:val="0"/>
          <w:u w:val="none"/>
        </w:rPr>
      </w:pPr>
    </w:p>
    <w:p w:rsidR="008C2694" w:rsidRDefault="008C2694" w:rsidP="00431C96">
      <w:pPr>
        <w:pStyle w:val="Titre"/>
        <w:spacing w:after="120"/>
        <w:jc w:val="both"/>
        <w:rPr>
          <w:rFonts w:ascii="Calibri" w:hAnsi="Calibri"/>
          <w:b w:val="0"/>
          <w:u w:val="none"/>
        </w:rPr>
      </w:pPr>
    </w:p>
    <w:p w:rsidR="008C2694" w:rsidRDefault="008C2694" w:rsidP="00431C96">
      <w:pPr>
        <w:pStyle w:val="Titre"/>
        <w:spacing w:after="120"/>
        <w:jc w:val="both"/>
        <w:rPr>
          <w:rFonts w:ascii="Calibri" w:hAnsi="Calibri"/>
          <w:color w:val="FF0000"/>
        </w:rPr>
      </w:pPr>
    </w:p>
    <w:p w:rsidR="00F166E5" w:rsidRPr="00F166E5" w:rsidRDefault="00F166E5" w:rsidP="00431C96">
      <w:pPr>
        <w:pStyle w:val="Titre"/>
        <w:jc w:val="both"/>
        <w:outlineLvl w:val="0"/>
        <w:rPr>
          <w:rFonts w:ascii="Calibri" w:hAnsi="Calibri"/>
          <w:color w:val="00B0F0"/>
          <w:u w:val="none"/>
        </w:rPr>
      </w:pPr>
      <w:bookmarkStart w:id="49" w:name="_Toc397332841"/>
      <w:bookmarkStart w:id="50" w:name="_Toc397332962"/>
      <w:r w:rsidRPr="00F166E5">
        <w:rPr>
          <w:rFonts w:ascii="Calibri" w:hAnsi="Calibri"/>
          <w:color w:val="00B0F0"/>
          <w:u w:val="none"/>
        </w:rPr>
        <w:lastRenderedPageBreak/>
        <w:t xml:space="preserve">VIII. </w:t>
      </w:r>
      <w:r w:rsidR="0043727B" w:rsidRPr="00F166E5">
        <w:rPr>
          <w:rFonts w:ascii="Calibri" w:hAnsi="Calibri"/>
          <w:color w:val="00B0F0"/>
          <w:u w:val="none"/>
        </w:rPr>
        <w:t>PRINCIPAUX INDICATEURS</w:t>
      </w:r>
      <w:bookmarkEnd w:id="49"/>
      <w:bookmarkEnd w:id="50"/>
      <w:r w:rsidR="0043727B" w:rsidRPr="00F166E5">
        <w:rPr>
          <w:rFonts w:ascii="Calibri" w:hAnsi="Calibri"/>
          <w:color w:val="00B0F0"/>
          <w:u w:val="none"/>
        </w:rPr>
        <w:t xml:space="preserve"> </w:t>
      </w:r>
      <w:r w:rsidRPr="00F166E5">
        <w:rPr>
          <w:rFonts w:ascii="Calibri" w:hAnsi="Calibri"/>
          <w:color w:val="00B0F0"/>
          <w:u w:val="none"/>
        </w:rPr>
        <w:t xml:space="preserve"> </w:t>
      </w:r>
    </w:p>
    <w:p w:rsidR="0043727B" w:rsidRPr="00F166E5" w:rsidRDefault="00F166E5" w:rsidP="00431C96">
      <w:pPr>
        <w:pStyle w:val="Titre"/>
        <w:spacing w:after="120"/>
        <w:jc w:val="both"/>
        <w:outlineLvl w:val="0"/>
        <w:rPr>
          <w:rFonts w:ascii="Calibri" w:hAnsi="Calibri"/>
          <w:u w:val="none"/>
        </w:rPr>
      </w:pPr>
      <w:r w:rsidRPr="00F166E5">
        <w:rPr>
          <w:rFonts w:ascii="Calibri" w:hAnsi="Calibri"/>
          <w:color w:val="00B0F0"/>
          <w:u w:val="none"/>
        </w:rPr>
        <w:t xml:space="preserve">        </w:t>
      </w:r>
      <w:bookmarkStart w:id="51" w:name="_Toc397332842"/>
      <w:bookmarkStart w:id="52" w:name="_Toc397332963"/>
      <w:r w:rsidR="0043727B" w:rsidRPr="00F166E5">
        <w:rPr>
          <w:rFonts w:ascii="Calibri" w:hAnsi="Calibri"/>
          <w:color w:val="00B0F0"/>
          <w:u w:val="none"/>
        </w:rPr>
        <w:t>D’ACTIVITE DU SECTEUR FINANCIER</w:t>
      </w:r>
      <w:bookmarkEnd w:id="51"/>
      <w:bookmarkEnd w:id="52"/>
      <w:r w:rsidRPr="00F166E5">
        <w:rPr>
          <w:rFonts w:ascii="Calibri" w:hAnsi="Calibri"/>
          <w:color w:val="00B0F0"/>
          <w:u w:val="none"/>
        </w:rPr>
        <w:t xml:space="preserve">      </w:t>
      </w:r>
      <w:r w:rsidR="0043727B" w:rsidRPr="00F166E5">
        <w:rPr>
          <w:rFonts w:ascii="Calibri" w:hAnsi="Calibri"/>
          <w:color w:val="00B0F0"/>
          <w:u w:val="none"/>
        </w:rPr>
        <w:t xml:space="preserve"> </w:t>
      </w:r>
    </w:p>
    <w:p w:rsidR="0043727B" w:rsidRPr="00F166E5" w:rsidRDefault="0043727B" w:rsidP="00431C96">
      <w:pPr>
        <w:pStyle w:val="Titre"/>
        <w:spacing w:after="120"/>
        <w:jc w:val="both"/>
        <w:outlineLvl w:val="1"/>
        <w:rPr>
          <w:rFonts w:ascii="Calibri" w:hAnsi="Calibri"/>
        </w:rPr>
      </w:pPr>
      <w:bookmarkStart w:id="53" w:name="_Toc397332843"/>
      <w:bookmarkStart w:id="54" w:name="_Toc397332964"/>
      <w:r w:rsidRPr="00F166E5">
        <w:rPr>
          <w:rFonts w:ascii="Calibri" w:hAnsi="Calibri"/>
          <w:color w:val="00B0F0"/>
          <w:u w:val="none"/>
        </w:rPr>
        <w:t>Principaux Emplois</w:t>
      </w:r>
      <w:bookmarkEnd w:id="53"/>
      <w:bookmarkEnd w:id="54"/>
      <w:r w:rsidRPr="00F166E5">
        <w:rPr>
          <w:rFonts w:ascii="Calibri" w:hAnsi="Calibri"/>
          <w:color w:val="00B0F0"/>
        </w:rPr>
        <w:t xml:space="preserve"> </w:t>
      </w:r>
    </w:p>
    <w:p w:rsidR="0043727B" w:rsidRPr="00F166E5" w:rsidRDefault="0043727B" w:rsidP="00431C96">
      <w:pPr>
        <w:pStyle w:val="Titre"/>
        <w:spacing w:after="120"/>
        <w:jc w:val="both"/>
        <w:rPr>
          <w:rFonts w:ascii="Calibri" w:hAnsi="Calibri"/>
          <w:b w:val="0"/>
          <w:bCs w:val="0"/>
          <w:u w:val="none"/>
        </w:rPr>
      </w:pPr>
      <w:r w:rsidRPr="00F166E5">
        <w:rPr>
          <w:rFonts w:ascii="Calibri" w:hAnsi="Calibri"/>
          <w:b w:val="0"/>
          <w:bCs w:val="0"/>
          <w:u w:val="none"/>
        </w:rPr>
        <w:t xml:space="preserve">A fin juin 2014, les principaux emplois consolidés de l’ensemble du secteur </w:t>
      </w:r>
      <w:r w:rsidR="008C2694">
        <w:rPr>
          <w:rFonts w:ascii="Calibri" w:hAnsi="Calibri"/>
          <w:b w:val="0"/>
          <w:bCs w:val="0"/>
          <w:u w:val="none"/>
        </w:rPr>
        <w:t>bancaire</w:t>
      </w:r>
      <w:r w:rsidRPr="00F166E5">
        <w:rPr>
          <w:rFonts w:ascii="Calibri" w:hAnsi="Calibri"/>
          <w:b w:val="0"/>
          <w:bCs w:val="0"/>
          <w:u w:val="none"/>
        </w:rPr>
        <w:t xml:space="preserve"> ont augmenté par rapport à la période correspondante de l’exercice 2013, passant de 1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018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298,8 MBIF à 1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201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766,9 MBIF, soit un accroissement de 18,0 p.c. Cette hausse est principalement liée à l’augmentation de la liquidité (+41,3 p.c.).</w:t>
      </w:r>
    </w:p>
    <w:p w:rsidR="0043727B" w:rsidRPr="00F166E5" w:rsidRDefault="0043727B" w:rsidP="00431C96">
      <w:pPr>
        <w:pStyle w:val="Titre"/>
        <w:spacing w:after="120"/>
        <w:jc w:val="both"/>
        <w:outlineLvl w:val="1"/>
        <w:rPr>
          <w:rFonts w:ascii="Calibri" w:hAnsi="Calibri"/>
          <w:b w:val="0"/>
          <w:bCs w:val="0"/>
          <w:u w:val="none"/>
        </w:rPr>
      </w:pPr>
      <w:bookmarkStart w:id="55" w:name="_Toc397332844"/>
      <w:bookmarkStart w:id="56" w:name="_Toc397332965"/>
      <w:r w:rsidRPr="00F166E5">
        <w:rPr>
          <w:rFonts w:ascii="Calibri" w:hAnsi="Calibri"/>
          <w:color w:val="00B0F0"/>
          <w:u w:val="none"/>
        </w:rPr>
        <w:t>Principales  Ressources</w:t>
      </w:r>
      <w:bookmarkEnd w:id="55"/>
      <w:bookmarkEnd w:id="56"/>
    </w:p>
    <w:p w:rsidR="0043727B" w:rsidRDefault="0043727B" w:rsidP="00431C96">
      <w:pPr>
        <w:pStyle w:val="Titre"/>
        <w:spacing w:after="120"/>
        <w:jc w:val="both"/>
        <w:rPr>
          <w:rFonts w:ascii="Calibri" w:hAnsi="Calibri"/>
          <w:b w:val="0"/>
          <w:bCs w:val="0"/>
          <w:u w:val="none"/>
        </w:rPr>
      </w:pPr>
      <w:r w:rsidRPr="00F166E5">
        <w:rPr>
          <w:rFonts w:ascii="Calibri" w:hAnsi="Calibri"/>
          <w:b w:val="0"/>
          <w:bCs w:val="0"/>
          <w:u w:val="none"/>
        </w:rPr>
        <w:t>S’établissant à 897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335,6 MBIF à fin juin 2014 contre 808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 xml:space="preserve">765,9 MBIF à fin juin 2013, les principales ressources du secteur financier ont enregistré une progression de 11,0 p.c. Celle-ci est liée à l’accroissement des ressources provenant de la clientèle (+9,0 p.c.) et des ressources interbancaires (+90,4 p.c.). </w:t>
      </w:r>
    </w:p>
    <w:p w:rsidR="0043727B" w:rsidRPr="00F166E5" w:rsidRDefault="0043727B" w:rsidP="00431C96">
      <w:pPr>
        <w:pStyle w:val="Titre"/>
        <w:spacing w:after="120"/>
        <w:jc w:val="both"/>
        <w:outlineLvl w:val="1"/>
        <w:rPr>
          <w:rFonts w:ascii="Calibri" w:hAnsi="Calibri"/>
        </w:rPr>
      </w:pPr>
      <w:bookmarkStart w:id="57" w:name="_Toc397332845"/>
      <w:bookmarkStart w:id="58" w:name="_Toc397332966"/>
      <w:r w:rsidRPr="00F166E5">
        <w:rPr>
          <w:rFonts w:ascii="Calibri" w:hAnsi="Calibri"/>
          <w:color w:val="00B0F0"/>
          <w:u w:val="none"/>
        </w:rPr>
        <w:t>Les créances compromises</w:t>
      </w:r>
      <w:bookmarkEnd w:id="57"/>
      <w:bookmarkEnd w:id="58"/>
    </w:p>
    <w:p w:rsidR="0043727B" w:rsidRPr="00F166E5" w:rsidRDefault="0043727B" w:rsidP="00431C96">
      <w:pPr>
        <w:pStyle w:val="Titre"/>
        <w:spacing w:after="120"/>
        <w:jc w:val="both"/>
        <w:rPr>
          <w:rFonts w:ascii="Calibri" w:hAnsi="Calibri"/>
          <w:u w:val="none"/>
        </w:rPr>
      </w:pPr>
      <w:r w:rsidRPr="00F166E5">
        <w:rPr>
          <w:rFonts w:ascii="Calibri" w:hAnsi="Calibri"/>
          <w:b w:val="0"/>
          <w:bCs w:val="0"/>
          <w:u w:val="none"/>
        </w:rPr>
        <w:t>Passant de 68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681,4 MBIF à 92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427,3 MBIF de fin juin 2013 à fin juin 2014, les créances en souffrance de l’ensemble du secteur ont augmenté de 34,6 p.c.</w:t>
      </w:r>
      <w:r w:rsidR="00810604">
        <w:rPr>
          <w:rFonts w:ascii="Calibri" w:hAnsi="Calibri"/>
          <w:b w:val="0"/>
          <w:bCs w:val="0"/>
          <w:u w:val="none"/>
        </w:rPr>
        <w:t>,</w:t>
      </w:r>
      <w:r w:rsidRPr="00F166E5">
        <w:rPr>
          <w:rFonts w:ascii="Calibri" w:hAnsi="Calibri"/>
          <w:b w:val="0"/>
          <w:bCs w:val="0"/>
          <w:u w:val="none"/>
        </w:rPr>
        <w:t xml:space="preserve"> suite à l’accroissement des impayés à la fois dans les banques commerciales (+32,1 p.c.) et dans les établissements financiers (+62,6 p.c.). Aussi faut-il noter que, à la date sous revue, le taux de détérioration du portefeuille crédits (impayés/total crédits) du secteur se trouve à un niveau élevé (12,6 p.c.) par rapport à la norme de 5 p.c. pour un établissement de crédit réputé solide. </w:t>
      </w:r>
    </w:p>
    <w:p w:rsidR="0043727B" w:rsidRPr="00F166E5" w:rsidRDefault="0043727B" w:rsidP="00431C96">
      <w:pPr>
        <w:pStyle w:val="Titre"/>
        <w:spacing w:after="120"/>
        <w:jc w:val="both"/>
        <w:outlineLvl w:val="1"/>
        <w:rPr>
          <w:rFonts w:ascii="Calibri" w:hAnsi="Calibri"/>
        </w:rPr>
      </w:pPr>
      <w:bookmarkStart w:id="59" w:name="_Toc397332846"/>
      <w:bookmarkStart w:id="60" w:name="_Toc397332967"/>
      <w:r w:rsidRPr="00F166E5">
        <w:rPr>
          <w:rFonts w:ascii="Calibri" w:hAnsi="Calibri"/>
          <w:color w:val="00B0F0"/>
          <w:u w:val="none"/>
        </w:rPr>
        <w:t>Résultat</w:t>
      </w:r>
      <w:bookmarkEnd w:id="59"/>
      <w:bookmarkEnd w:id="60"/>
    </w:p>
    <w:p w:rsidR="0043727B" w:rsidRPr="00F166E5" w:rsidRDefault="0043727B" w:rsidP="00431C96">
      <w:pPr>
        <w:pStyle w:val="Titre"/>
        <w:spacing w:after="120"/>
        <w:jc w:val="both"/>
        <w:rPr>
          <w:rFonts w:ascii="Calibri" w:hAnsi="Calibri"/>
        </w:rPr>
      </w:pPr>
      <w:r w:rsidRPr="00F166E5">
        <w:rPr>
          <w:rFonts w:ascii="Calibri" w:hAnsi="Calibri"/>
          <w:b w:val="0"/>
          <w:bCs w:val="0"/>
          <w:u w:val="none"/>
        </w:rPr>
        <w:t xml:space="preserve">Le résultat cumulé de l’ensemble du secteur </w:t>
      </w:r>
      <w:r w:rsidR="00810604">
        <w:rPr>
          <w:rFonts w:ascii="Calibri" w:hAnsi="Calibri"/>
          <w:b w:val="0"/>
          <w:bCs w:val="0"/>
          <w:u w:val="none"/>
        </w:rPr>
        <w:t>bancaire</w:t>
      </w:r>
      <w:r w:rsidRPr="00F166E5">
        <w:rPr>
          <w:rFonts w:ascii="Calibri" w:hAnsi="Calibri"/>
          <w:b w:val="0"/>
          <w:bCs w:val="0"/>
          <w:u w:val="none"/>
        </w:rPr>
        <w:t xml:space="preserve"> a </w:t>
      </w:r>
      <w:r w:rsidR="00810604">
        <w:rPr>
          <w:rFonts w:ascii="Calibri" w:hAnsi="Calibri"/>
          <w:b w:val="0"/>
          <w:bCs w:val="0"/>
          <w:u w:val="none"/>
        </w:rPr>
        <w:t>baissé</w:t>
      </w:r>
      <w:r w:rsidRPr="00F166E5">
        <w:rPr>
          <w:rFonts w:ascii="Calibri" w:hAnsi="Calibri"/>
          <w:b w:val="0"/>
          <w:bCs w:val="0"/>
          <w:u w:val="none"/>
        </w:rPr>
        <w:t xml:space="preserve"> par rapport</w:t>
      </w:r>
      <w:r w:rsidR="008C2694">
        <w:rPr>
          <w:rFonts w:ascii="Calibri" w:hAnsi="Calibri"/>
          <w:b w:val="0"/>
          <w:bCs w:val="0"/>
          <w:u w:val="none"/>
        </w:rPr>
        <w:t xml:space="preserve"> à</w:t>
      </w:r>
      <w:r w:rsidR="00810604">
        <w:rPr>
          <w:rFonts w:ascii="Calibri" w:hAnsi="Calibri"/>
          <w:b w:val="0"/>
          <w:bCs w:val="0"/>
          <w:u w:val="none"/>
        </w:rPr>
        <w:t xml:space="preserve"> celui </w:t>
      </w:r>
      <w:r w:rsidRPr="00F166E5">
        <w:rPr>
          <w:rFonts w:ascii="Calibri" w:hAnsi="Calibri"/>
          <w:b w:val="0"/>
          <w:bCs w:val="0"/>
          <w:u w:val="none"/>
        </w:rPr>
        <w:t xml:space="preserve"> </w:t>
      </w:r>
      <w:r w:rsidR="008C2694">
        <w:rPr>
          <w:rFonts w:ascii="Calibri" w:hAnsi="Calibri"/>
          <w:b w:val="0"/>
          <w:bCs w:val="0"/>
          <w:u w:val="none"/>
        </w:rPr>
        <w:t>de</w:t>
      </w:r>
      <w:r w:rsidRPr="00F166E5">
        <w:rPr>
          <w:rFonts w:ascii="Calibri" w:hAnsi="Calibri"/>
          <w:b w:val="0"/>
          <w:bCs w:val="0"/>
          <w:u w:val="none"/>
        </w:rPr>
        <w:t xml:space="preserve"> fin juin 2013, </w:t>
      </w:r>
      <w:r w:rsidR="00810604">
        <w:rPr>
          <w:rFonts w:ascii="Calibri" w:hAnsi="Calibri"/>
          <w:b w:val="0"/>
          <w:bCs w:val="0"/>
          <w:u w:val="none"/>
        </w:rPr>
        <w:t>revenant</w:t>
      </w:r>
      <w:r w:rsidRPr="00F166E5">
        <w:rPr>
          <w:rFonts w:ascii="Calibri" w:hAnsi="Calibri"/>
          <w:b w:val="0"/>
          <w:bCs w:val="0"/>
          <w:u w:val="none"/>
        </w:rPr>
        <w:t xml:space="preserve"> de 10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158,7 à 7</w:t>
      </w:r>
      <w:r w:rsidR="00E25527">
        <w:rPr>
          <w:rFonts w:ascii="Calibri" w:hAnsi="Calibri"/>
          <w:b w:val="0"/>
          <w:bCs w:val="0"/>
          <w:u w:val="none"/>
        </w:rPr>
        <w:t>.</w:t>
      </w:r>
      <w:r w:rsidRPr="00F166E5">
        <w:rPr>
          <w:rFonts w:ascii="Calibri" w:hAnsi="Calibri"/>
          <w:b w:val="0"/>
          <w:bCs w:val="0"/>
          <w:u w:val="none"/>
        </w:rPr>
        <w:t>399,1 MBIF à fin 2014, soit une diminution  de 27,2 p.c.</w:t>
      </w:r>
    </w:p>
    <w:p w:rsidR="00A61B5E" w:rsidRDefault="00A61B5E" w:rsidP="00431C96">
      <w:pPr>
        <w:pStyle w:val="Titre"/>
        <w:spacing w:after="120"/>
        <w:jc w:val="both"/>
        <w:outlineLvl w:val="1"/>
        <w:rPr>
          <w:rFonts w:ascii="Calibri" w:hAnsi="Calibri"/>
          <w:color w:val="00B0F0"/>
          <w:u w:val="none"/>
        </w:rPr>
      </w:pPr>
      <w:bookmarkStart w:id="61" w:name="_Toc397332847"/>
      <w:bookmarkStart w:id="62" w:name="_Toc397332968"/>
    </w:p>
    <w:p w:rsidR="00A61B5E" w:rsidRDefault="00A61B5E" w:rsidP="00431C96">
      <w:pPr>
        <w:pStyle w:val="Titre"/>
        <w:spacing w:after="120"/>
        <w:jc w:val="both"/>
        <w:outlineLvl w:val="1"/>
        <w:rPr>
          <w:rFonts w:ascii="Calibri" w:hAnsi="Calibri"/>
          <w:color w:val="00B0F0"/>
          <w:u w:val="none"/>
        </w:rPr>
      </w:pPr>
    </w:p>
    <w:p w:rsidR="00A61B5E" w:rsidRDefault="00A61B5E" w:rsidP="00431C96">
      <w:pPr>
        <w:pStyle w:val="Titre"/>
        <w:spacing w:after="120"/>
        <w:jc w:val="both"/>
        <w:outlineLvl w:val="1"/>
        <w:rPr>
          <w:rFonts w:ascii="Calibri" w:hAnsi="Calibri"/>
          <w:color w:val="00B0F0"/>
          <w:u w:val="none"/>
        </w:rPr>
      </w:pPr>
    </w:p>
    <w:p w:rsidR="0043727B" w:rsidRPr="00F166E5" w:rsidRDefault="0043727B" w:rsidP="00431C96">
      <w:pPr>
        <w:pStyle w:val="Titre"/>
        <w:spacing w:after="120"/>
        <w:jc w:val="both"/>
        <w:outlineLvl w:val="1"/>
        <w:rPr>
          <w:rFonts w:ascii="Calibri" w:hAnsi="Calibri"/>
        </w:rPr>
      </w:pPr>
      <w:r w:rsidRPr="00F166E5">
        <w:rPr>
          <w:rFonts w:ascii="Calibri" w:hAnsi="Calibri"/>
          <w:color w:val="00B0F0"/>
          <w:u w:val="none"/>
        </w:rPr>
        <w:lastRenderedPageBreak/>
        <w:t>Normes prudentielles</w:t>
      </w:r>
      <w:bookmarkEnd w:id="61"/>
      <w:bookmarkEnd w:id="62"/>
    </w:p>
    <w:p w:rsidR="0043727B" w:rsidRPr="00F166E5" w:rsidRDefault="0043727B" w:rsidP="00431C96">
      <w:pPr>
        <w:pStyle w:val="Titre"/>
        <w:jc w:val="both"/>
        <w:rPr>
          <w:rFonts w:ascii="Calibri" w:hAnsi="Calibri"/>
          <w:b w:val="0"/>
          <w:bCs w:val="0"/>
          <w:u w:val="none"/>
        </w:rPr>
      </w:pPr>
      <w:r w:rsidRPr="00F166E5">
        <w:rPr>
          <w:rFonts w:ascii="Calibri" w:hAnsi="Calibri"/>
          <w:b w:val="0"/>
          <w:bCs w:val="0"/>
          <w:u w:val="none"/>
        </w:rPr>
        <w:t xml:space="preserve">Les normes prudentielles de l’ensemble du secteur se sont établies au dessus des seuils réglementaires. Néanmoins, comparés à ceux de l’exercice précédent, le ratio de solvabilité </w:t>
      </w:r>
      <w:r w:rsidR="008C2694">
        <w:rPr>
          <w:rFonts w:ascii="Calibri" w:hAnsi="Calibri"/>
          <w:b w:val="0"/>
          <w:bCs w:val="0"/>
          <w:u w:val="none"/>
        </w:rPr>
        <w:t xml:space="preserve"> (22,3 contre 22,7 p.c.) </w:t>
      </w:r>
      <w:r w:rsidR="00810604">
        <w:rPr>
          <w:rFonts w:ascii="Calibri" w:hAnsi="Calibri"/>
          <w:b w:val="0"/>
          <w:bCs w:val="0"/>
          <w:u w:val="none"/>
        </w:rPr>
        <w:t>et</w:t>
      </w:r>
      <w:r w:rsidRPr="00F166E5">
        <w:rPr>
          <w:rFonts w:ascii="Calibri" w:hAnsi="Calibri"/>
          <w:b w:val="0"/>
          <w:bCs w:val="0"/>
          <w:u w:val="none"/>
        </w:rPr>
        <w:t xml:space="preserve"> le rapport entre les ressources stables et les emplois immobilisés</w:t>
      </w:r>
      <w:r w:rsidR="008C2694">
        <w:rPr>
          <w:rFonts w:ascii="Calibri" w:hAnsi="Calibri"/>
          <w:b w:val="0"/>
          <w:bCs w:val="0"/>
          <w:u w:val="none"/>
        </w:rPr>
        <w:t xml:space="preserve"> (136,3 contre 147,6 p.c.) ont </w:t>
      </w:r>
      <w:r w:rsidRPr="00F166E5">
        <w:rPr>
          <w:rFonts w:ascii="Calibri" w:hAnsi="Calibri"/>
          <w:b w:val="0"/>
          <w:bCs w:val="0"/>
          <w:u w:val="none"/>
        </w:rPr>
        <w:t xml:space="preserve"> diminué. En revanche, les fonds propres ont augmenté de 3,2 p.c. d’une </w:t>
      </w:r>
      <w:r w:rsidR="00810604">
        <w:rPr>
          <w:rFonts w:ascii="Calibri" w:hAnsi="Calibri"/>
          <w:b w:val="0"/>
          <w:bCs w:val="0"/>
          <w:u w:val="none"/>
        </w:rPr>
        <w:t>période</w:t>
      </w:r>
      <w:r w:rsidRPr="00F166E5">
        <w:rPr>
          <w:rFonts w:ascii="Calibri" w:hAnsi="Calibri"/>
          <w:b w:val="0"/>
          <w:bCs w:val="0"/>
          <w:u w:val="none"/>
        </w:rPr>
        <w:t xml:space="preserve"> à l’autre.</w:t>
      </w:r>
    </w:p>
    <w:p w:rsidR="0043727B" w:rsidRPr="00F166E5" w:rsidRDefault="0043727B" w:rsidP="00431C96">
      <w:pPr>
        <w:pStyle w:val="Titre"/>
        <w:jc w:val="both"/>
        <w:rPr>
          <w:rFonts w:ascii="Calibri" w:hAnsi="Calibri"/>
          <w:b w:val="0"/>
          <w:bCs w:val="0"/>
          <w:u w:val="none"/>
        </w:rPr>
        <w:sectPr w:rsidR="0043727B" w:rsidRPr="00F166E5" w:rsidSect="00FE56C0">
          <w:footerReference w:type="default" r:id="rId15"/>
          <w:pgSz w:w="11906" w:h="16838"/>
          <w:pgMar w:top="284" w:right="1274" w:bottom="1417" w:left="1417" w:header="708" w:footer="708" w:gutter="0"/>
          <w:pgNumType w:start="1"/>
          <w:cols w:num="2" w:space="708"/>
          <w:docGrid w:linePitch="360"/>
        </w:sectPr>
      </w:pPr>
    </w:p>
    <w:p w:rsidR="0043727B" w:rsidRPr="004847AB" w:rsidRDefault="00F166E5" w:rsidP="00431C96">
      <w:pPr>
        <w:pStyle w:val="Titre1"/>
        <w:rPr>
          <w:rFonts w:ascii="Calibri" w:hAnsi="Calibri"/>
          <w:b/>
          <w:bCs/>
          <w:color w:val="00B0F0"/>
          <w:sz w:val="24"/>
          <w:u w:val="none"/>
        </w:rPr>
      </w:pPr>
      <w:bookmarkStart w:id="63" w:name="_Toc397332848"/>
      <w:bookmarkStart w:id="64" w:name="_Toc397332969"/>
      <w:r w:rsidRPr="004847AB">
        <w:rPr>
          <w:rFonts w:ascii="Calibri" w:hAnsi="Calibri"/>
          <w:b/>
          <w:bCs/>
          <w:color w:val="00B0F0"/>
          <w:sz w:val="24"/>
          <w:u w:val="none"/>
        </w:rPr>
        <w:lastRenderedPageBreak/>
        <w:t xml:space="preserve">ANNEXE 1 : </w:t>
      </w:r>
      <w:r w:rsidR="0043727B" w:rsidRPr="004847AB">
        <w:rPr>
          <w:rFonts w:ascii="Calibri" w:hAnsi="Calibri"/>
          <w:b/>
          <w:bCs/>
          <w:color w:val="00B0F0"/>
          <w:sz w:val="24"/>
          <w:u w:val="none"/>
        </w:rPr>
        <w:t>PRINCIPAUX INDCATEURS D’ACTIVITE DU SECTEUR BANCAIRE AU 30 JUIN 2014</w:t>
      </w:r>
      <w:bookmarkEnd w:id="63"/>
      <w:bookmarkEnd w:id="64"/>
      <w:r w:rsidR="0043727B" w:rsidRPr="004847AB">
        <w:rPr>
          <w:rFonts w:ascii="Calibri" w:hAnsi="Calibri"/>
          <w:b/>
          <w:bCs/>
          <w:color w:val="00B0F0"/>
          <w:sz w:val="24"/>
          <w:u w:val="none"/>
        </w:rPr>
        <w:t xml:space="preserve"> </w:t>
      </w:r>
    </w:p>
    <w:p w:rsidR="0043727B" w:rsidRPr="004847AB" w:rsidRDefault="0043727B" w:rsidP="00431C96">
      <w:pPr>
        <w:pStyle w:val="Titre1"/>
        <w:rPr>
          <w:rFonts w:ascii="Calibri" w:hAnsi="Calibri"/>
          <w:b/>
          <w:bCs/>
          <w:color w:val="00B0F0"/>
          <w:sz w:val="24"/>
          <w:u w:val="none"/>
        </w:rPr>
      </w:pPr>
      <w:bookmarkStart w:id="65" w:name="_Toc397332849"/>
      <w:bookmarkStart w:id="66" w:name="_Toc397332970"/>
      <w:r w:rsidRPr="004847AB">
        <w:rPr>
          <w:rFonts w:ascii="Calibri" w:hAnsi="Calibri"/>
          <w:b/>
          <w:bCs/>
          <w:color w:val="00B0F0"/>
          <w:sz w:val="24"/>
          <w:u w:val="none"/>
        </w:rPr>
        <w:t>(</w:t>
      </w:r>
      <w:proofErr w:type="gramStart"/>
      <w:r w:rsidRPr="004847AB">
        <w:rPr>
          <w:rFonts w:ascii="Calibri" w:hAnsi="Calibri"/>
          <w:b/>
          <w:bCs/>
          <w:color w:val="00B0F0"/>
          <w:sz w:val="24"/>
          <w:u w:val="none"/>
        </w:rPr>
        <w:t>en</w:t>
      </w:r>
      <w:proofErr w:type="gramEnd"/>
      <w:r w:rsidRPr="004847AB">
        <w:rPr>
          <w:rFonts w:ascii="Calibri" w:hAnsi="Calibri"/>
          <w:b/>
          <w:bCs/>
          <w:color w:val="00B0F0"/>
          <w:sz w:val="24"/>
          <w:u w:val="none"/>
        </w:rPr>
        <w:t xml:space="preserve"> millions de BIF)</w:t>
      </w:r>
      <w:bookmarkEnd w:id="65"/>
      <w:bookmarkEnd w:id="66"/>
    </w:p>
    <w:p w:rsidR="0043727B" w:rsidRDefault="0043727B" w:rsidP="00D43E37">
      <w:pPr>
        <w:spacing w:after="240" w:line="240" w:lineRule="auto"/>
        <w:jc w:val="both"/>
        <w:rPr>
          <w:rFonts w:ascii="Calibri" w:hAnsi="Calibri"/>
          <w:b/>
          <w:bCs/>
          <w:u w:val="single"/>
        </w:rPr>
      </w:pPr>
    </w:p>
    <w:p w:rsidR="00D43E37" w:rsidRPr="00F166E5" w:rsidRDefault="00D43E37" w:rsidP="00D43E37">
      <w:pPr>
        <w:spacing w:after="240" w:line="240" w:lineRule="auto"/>
        <w:jc w:val="both"/>
        <w:rPr>
          <w:rFonts w:ascii="Calibri" w:hAnsi="Calibri"/>
          <w:b/>
          <w:bCs/>
          <w:u w:val="single"/>
        </w:rPr>
        <w:sectPr w:rsidR="00D43E37" w:rsidRPr="00F166E5" w:rsidSect="004372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67" w:name="_MON_1471159508"/>
    <w:bookmarkEnd w:id="67"/>
    <w:p w:rsidR="0043727B" w:rsidRPr="00F166E5" w:rsidRDefault="00A220A7" w:rsidP="00431C96">
      <w:pPr>
        <w:spacing w:line="240" w:lineRule="auto"/>
        <w:jc w:val="both"/>
        <w:rPr>
          <w:rFonts w:ascii="Calibri" w:hAnsi="Calibri"/>
          <w:b/>
          <w:bCs/>
          <w:u w:val="single"/>
        </w:rPr>
        <w:sectPr w:rsidR="0043727B" w:rsidRPr="00F166E5" w:rsidSect="004372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66E5">
        <w:rPr>
          <w:rFonts w:ascii="Calibri" w:hAnsi="Calibri"/>
          <w:b/>
          <w:bCs/>
          <w:u w:val="single"/>
        </w:rPr>
        <w:object w:dxaOrig="21071" w:dyaOrig="11286">
          <v:shape id="_x0000_i1028" type="#_x0000_t75" style="width:443.25pt;height:564.75pt" o:ole="">
            <v:imagedata r:id="rId16" o:title=""/>
          </v:shape>
          <o:OLEObject Type="Embed" ProgID="Excel.Sheet.8" ShapeID="_x0000_i1028" DrawAspect="Content" ObjectID="_1471331429" r:id="rId17"/>
        </w:object>
      </w:r>
    </w:p>
    <w:p w:rsidR="002B485E" w:rsidRPr="004847AB" w:rsidRDefault="0043727B" w:rsidP="00431C96">
      <w:pPr>
        <w:pStyle w:val="Titre1"/>
        <w:spacing w:after="120"/>
        <w:rPr>
          <w:rFonts w:ascii="Calibri" w:hAnsi="Calibri"/>
          <w:b/>
          <w:color w:val="00B0F0"/>
          <w:sz w:val="24"/>
          <w:u w:val="none"/>
        </w:rPr>
      </w:pPr>
      <w:bookmarkStart w:id="68" w:name="_Toc397332850"/>
      <w:bookmarkStart w:id="69" w:name="_Toc397332971"/>
      <w:r w:rsidRPr="004847AB">
        <w:rPr>
          <w:rFonts w:ascii="Calibri" w:hAnsi="Calibri"/>
          <w:b/>
          <w:color w:val="00B0F0"/>
          <w:sz w:val="24"/>
          <w:u w:val="none"/>
        </w:rPr>
        <w:lastRenderedPageBreak/>
        <w:t>A</w:t>
      </w:r>
      <w:r w:rsidR="00D71F04" w:rsidRPr="004847AB">
        <w:rPr>
          <w:rFonts w:ascii="Calibri" w:hAnsi="Calibri"/>
          <w:b/>
          <w:color w:val="00B0F0"/>
          <w:sz w:val="24"/>
          <w:u w:val="none"/>
        </w:rPr>
        <w:t xml:space="preserve">NNEXE </w:t>
      </w:r>
      <w:r w:rsidR="00F166E5" w:rsidRPr="004847AB">
        <w:rPr>
          <w:rFonts w:ascii="Calibri" w:hAnsi="Calibri"/>
          <w:b/>
          <w:color w:val="00B0F0"/>
          <w:sz w:val="24"/>
          <w:u w:val="none"/>
        </w:rPr>
        <w:t>2</w:t>
      </w:r>
      <w:r w:rsidR="00D71F04" w:rsidRPr="004847AB">
        <w:rPr>
          <w:rFonts w:ascii="Calibri" w:hAnsi="Calibri"/>
          <w:b/>
          <w:color w:val="00B0F0"/>
          <w:sz w:val="24"/>
          <w:u w:val="none"/>
        </w:rPr>
        <w:t> : PRINCIPAUX INDICATEURS MENSUELS</w:t>
      </w:r>
      <w:bookmarkEnd w:id="68"/>
      <w:bookmarkEnd w:id="69"/>
    </w:p>
    <w:p w:rsidR="00D43E37" w:rsidRDefault="000B0617" w:rsidP="00431C9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95BCA">
        <w:rPr>
          <w:rFonts w:ascii="Calibri" w:hAnsi="Calibri"/>
          <w:sz w:val="24"/>
          <w:szCs w:val="24"/>
        </w:rPr>
        <w:object w:dxaOrig="15450" w:dyaOrig="17910">
          <v:shape id="_x0000_i1026" type="#_x0000_t75" style="width:457.5pt;height:660.75pt" o:ole="">
            <v:imagedata r:id="rId18" o:title=""/>
          </v:shape>
          <o:OLEObject Type="Link" ProgID="Excel.Sheet.8" ShapeID="_x0000_i1026" DrawAspect="Content" r:id="rId19" UpdateMode="Always">
            <o:LinkType>Picture</o:LinkType>
            <o:LockedField>false</o:LockedField>
          </o:OLEObject>
        </w:object>
      </w:r>
    </w:p>
    <w:p w:rsidR="002B485E" w:rsidRDefault="004847AB" w:rsidP="00A747C0">
      <w:pPr>
        <w:pStyle w:val="Titre1"/>
        <w:spacing w:after="240"/>
        <w:rPr>
          <w:rFonts w:ascii="Calibri" w:hAnsi="Calibri"/>
          <w:b/>
          <w:color w:val="00B0F0"/>
          <w:sz w:val="24"/>
          <w:u w:val="none"/>
        </w:rPr>
      </w:pPr>
      <w:bookmarkStart w:id="70" w:name="_Toc397332851"/>
      <w:bookmarkStart w:id="71" w:name="_Toc397332972"/>
      <w:r>
        <w:rPr>
          <w:rFonts w:ascii="Calibri" w:hAnsi="Calibri"/>
          <w:b/>
          <w:color w:val="00B0F0"/>
          <w:sz w:val="24"/>
          <w:u w:val="none"/>
        </w:rPr>
        <w:lastRenderedPageBreak/>
        <w:t>ANNEXE 3 : PRINCIPAUX INDICATEURS ANNUELS</w:t>
      </w:r>
      <w:bookmarkEnd w:id="70"/>
      <w:bookmarkEnd w:id="71"/>
      <w:r>
        <w:rPr>
          <w:rFonts w:ascii="Calibri" w:hAnsi="Calibri"/>
          <w:b/>
          <w:color w:val="00B0F0"/>
          <w:sz w:val="24"/>
          <w:u w:val="none"/>
        </w:rPr>
        <w:t xml:space="preserve">  </w:t>
      </w:r>
    </w:p>
    <w:p w:rsidR="00431C96" w:rsidRPr="00F166E5" w:rsidRDefault="000B0617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695BCA">
        <w:rPr>
          <w:rFonts w:ascii="Calibri" w:hAnsi="Calibri"/>
          <w:b/>
          <w:sz w:val="24"/>
          <w:szCs w:val="24"/>
        </w:rPr>
        <w:object w:dxaOrig="13230" w:dyaOrig="14685">
          <v:shape id="_x0000_i1027" type="#_x0000_t75" style="width:477pt;height:552.75pt" o:ole="">
            <v:imagedata r:id="rId20" o:title=""/>
          </v:shape>
          <o:OLEObject Type="Link" ProgID="Excel.Sheet.8" ShapeID="_x0000_i1027" DrawAspect="Content" r:id="rId21" UpdateMode="Always">
            <o:LinkType>Picture</o:LinkType>
            <o:LockedField>false</o:LockedField>
            <o:FieldCodes>\* MERGEFORMAT</o:FieldCodes>
          </o:OLEObject>
        </w:object>
      </w:r>
    </w:p>
    <w:sectPr w:rsidR="00431C96" w:rsidRPr="00F166E5" w:rsidSect="00D7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DE" w:rsidRDefault="005E17DE" w:rsidP="00F166E5">
      <w:pPr>
        <w:spacing w:after="0" w:line="240" w:lineRule="auto"/>
      </w:pPr>
      <w:r>
        <w:separator/>
      </w:r>
    </w:p>
  </w:endnote>
  <w:endnote w:type="continuationSeparator" w:id="0">
    <w:p w:rsidR="005E17DE" w:rsidRDefault="005E17DE" w:rsidP="00F1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6" w:rsidRDefault="00AC61C6">
    <w:pPr>
      <w:rPr>
        <w:rFonts w:ascii="Arial Narrow" w:hAnsi="Arial Narrow" w:cs="Arial Narrow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>B</w:t>
    </w:r>
    <w:r>
      <w:rPr>
        <w:rFonts w:ascii="Arial Narrow" w:hAnsi="Arial Narrow" w:cs="Arial Narrow"/>
        <w:b/>
        <w:bCs/>
        <w:color w:val="000000"/>
      </w:rPr>
      <w:t>.P. 705 BUJUMBURA   Tél: (257) 225142 -Télex : 5071, 5072 - Fax : (257) 223128 - E-mail </w:t>
    </w:r>
    <w:r>
      <w:rPr>
        <w:rFonts w:ascii="Arial Narrow" w:hAnsi="Arial Narrow" w:cs="Arial Narrow"/>
        <w:color w:val="000000"/>
      </w:rPr>
      <w:t xml:space="preserve">: </w:t>
    </w:r>
    <w:r>
      <w:rPr>
        <w:rFonts w:ascii="Arial Narrow" w:hAnsi="Arial Narrow" w:cs="Arial Narrow"/>
        <w:b/>
        <w:bCs/>
        <w:color w:val="000000"/>
      </w:rPr>
      <w:t>brb@brb.bi</w:t>
    </w:r>
  </w:p>
  <w:p w:rsidR="00AC61C6" w:rsidRDefault="00AC61C6">
    <w:pPr>
      <w:rPr>
        <w:rFonts w:ascii="Arial Narrow" w:hAnsi="Arial Narrow" w:cs="Arial Narrow"/>
        <w:b/>
        <w:bCs/>
      </w:rPr>
    </w:pPr>
  </w:p>
  <w:p w:rsidR="00AC61C6" w:rsidRDefault="00AC61C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6" w:rsidRPr="001F0DD7" w:rsidRDefault="00AC61C6" w:rsidP="00D720D0">
    <w:pPr>
      <w:rPr>
        <w:rFonts w:ascii="Arial Narrow" w:hAnsi="Arial Narrow" w:cs="Arial Narrow"/>
        <w:b/>
        <w:bCs/>
        <w:color w:val="000000"/>
        <w:sz w:val="18"/>
        <w:szCs w:val="16"/>
      </w:rPr>
    </w:pPr>
    <w:r w:rsidRPr="001F0DD7">
      <w:rPr>
        <w:rFonts w:ascii="Tahoma" w:hAnsi="Tahoma" w:cs="Tahoma"/>
        <w:b/>
        <w:bCs/>
        <w:color w:val="000000"/>
        <w:sz w:val="18"/>
        <w:szCs w:val="16"/>
      </w:rPr>
      <w:t xml:space="preserve">     B</w:t>
    </w:r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 xml:space="preserve">.P. 705 BUJUMBURA   Tél: (257) 22 20 40 00  Fax : (257) 22 </w:t>
    </w:r>
    <w:proofErr w:type="spellStart"/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>22</w:t>
    </w:r>
    <w:proofErr w:type="spellEnd"/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 xml:space="preserve"> 31 28 - E-mail </w:t>
    </w:r>
    <w:r w:rsidRPr="001F0DD7">
      <w:rPr>
        <w:rFonts w:ascii="Arial Narrow" w:hAnsi="Arial Narrow" w:cs="Arial Narrow"/>
        <w:color w:val="000000"/>
        <w:sz w:val="18"/>
        <w:szCs w:val="16"/>
      </w:rPr>
      <w:t xml:space="preserve">: </w:t>
    </w:r>
    <w:hyperlink r:id="rId1" w:history="1">
      <w:r w:rsidRPr="001F0DD7">
        <w:rPr>
          <w:rStyle w:val="Lienhypertexte"/>
          <w:rFonts w:ascii="Arial Narrow" w:hAnsi="Arial Narrow" w:cs="Arial Narrow"/>
          <w:b/>
          <w:bCs/>
          <w:sz w:val="18"/>
        </w:rPr>
        <w:t>brb@brb.bi</w:t>
      </w:r>
    </w:hyperlink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 xml:space="preserve">    - Site Web : </w:t>
    </w:r>
    <w:r w:rsidRPr="001F0DD7">
      <w:rPr>
        <w:rFonts w:ascii="Arial Narrow" w:hAnsi="Arial Narrow" w:cs="Arial Narrow"/>
        <w:b/>
        <w:bCs/>
        <w:color w:val="0000FF"/>
        <w:sz w:val="18"/>
        <w:szCs w:val="16"/>
      </w:rPr>
      <w:t>www.brb.bi</w:t>
    </w:r>
  </w:p>
  <w:p w:rsidR="00AC61C6" w:rsidRPr="001F0DD7" w:rsidRDefault="00AC61C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BF" w:rsidRPr="001F0DD7" w:rsidRDefault="00082ABF" w:rsidP="00D720D0">
    <w:pPr>
      <w:rPr>
        <w:rFonts w:ascii="Arial Narrow" w:hAnsi="Arial Narrow" w:cs="Arial Narrow"/>
        <w:b/>
        <w:bCs/>
        <w:color w:val="000000"/>
        <w:sz w:val="18"/>
        <w:szCs w:val="16"/>
      </w:rPr>
    </w:pPr>
    <w:r w:rsidRPr="001F0DD7">
      <w:rPr>
        <w:rFonts w:ascii="Tahoma" w:hAnsi="Tahoma" w:cs="Tahoma"/>
        <w:b/>
        <w:bCs/>
        <w:color w:val="000000"/>
        <w:sz w:val="18"/>
        <w:szCs w:val="16"/>
      </w:rPr>
      <w:t xml:space="preserve">     </w:t>
    </w:r>
  </w:p>
  <w:p w:rsidR="00082ABF" w:rsidRPr="001F0DD7" w:rsidRDefault="00082AB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BF" w:rsidRDefault="00082A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DE" w:rsidRDefault="005E17DE" w:rsidP="00F166E5">
      <w:pPr>
        <w:spacing w:after="0" w:line="240" w:lineRule="auto"/>
      </w:pPr>
      <w:r>
        <w:separator/>
      </w:r>
    </w:p>
  </w:footnote>
  <w:footnote w:type="continuationSeparator" w:id="0">
    <w:p w:rsidR="005E17DE" w:rsidRDefault="005E17DE" w:rsidP="00F1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A7" w:rsidRDefault="00BF67E5" w:rsidP="008442A7">
    <w:pPr>
      <w:pStyle w:val="En-tte"/>
      <w:rPr>
        <w:rStyle w:val="Numrodepage"/>
      </w:rPr>
    </w:pPr>
    <w:r>
      <w:rPr>
        <w:rStyle w:val="Numrodepage"/>
      </w:rPr>
      <w:fldChar w:fldCharType="begin"/>
    </w:r>
    <w:r w:rsidR="008442A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42A7" w:rsidRDefault="008442A7" w:rsidP="008442A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185"/>
      <w:docPartObj>
        <w:docPartGallery w:val="Page Numbers (Top of Page)"/>
        <w:docPartUnique/>
      </w:docPartObj>
    </w:sdtPr>
    <w:sdtContent>
      <w:p w:rsidR="002E0DE0" w:rsidRDefault="00BF67E5">
        <w:pPr>
          <w:pStyle w:val="En-tte"/>
          <w:jc w:val="right"/>
        </w:pPr>
        <w:fldSimple w:instr=" PAGE   \* MERGEFORMAT ">
          <w:r w:rsidR="00082ABF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E3474"/>
    <w:rsid w:val="0000574C"/>
    <w:rsid w:val="00027C01"/>
    <w:rsid w:val="00062D8B"/>
    <w:rsid w:val="00070EE7"/>
    <w:rsid w:val="00072CB4"/>
    <w:rsid w:val="00082ABF"/>
    <w:rsid w:val="000A42C1"/>
    <w:rsid w:val="000A4DEA"/>
    <w:rsid w:val="000B0617"/>
    <w:rsid w:val="000C3849"/>
    <w:rsid w:val="000F0F63"/>
    <w:rsid w:val="000F1ED0"/>
    <w:rsid w:val="0010769B"/>
    <w:rsid w:val="00132F09"/>
    <w:rsid w:val="00167616"/>
    <w:rsid w:val="00172DD0"/>
    <w:rsid w:val="00194608"/>
    <w:rsid w:val="00195E1E"/>
    <w:rsid w:val="001D40FB"/>
    <w:rsid w:val="001E1918"/>
    <w:rsid w:val="00200C59"/>
    <w:rsid w:val="002018AF"/>
    <w:rsid w:val="002106C1"/>
    <w:rsid w:val="00215097"/>
    <w:rsid w:val="0022511F"/>
    <w:rsid w:val="00227D8E"/>
    <w:rsid w:val="00235189"/>
    <w:rsid w:val="00241094"/>
    <w:rsid w:val="00263C9D"/>
    <w:rsid w:val="00271B5B"/>
    <w:rsid w:val="00274724"/>
    <w:rsid w:val="002861A8"/>
    <w:rsid w:val="00286C6F"/>
    <w:rsid w:val="00294790"/>
    <w:rsid w:val="002A687A"/>
    <w:rsid w:val="002B1CFB"/>
    <w:rsid w:val="002B485E"/>
    <w:rsid w:val="002B5C77"/>
    <w:rsid w:val="002C2374"/>
    <w:rsid w:val="002D57EE"/>
    <w:rsid w:val="002D5EAA"/>
    <w:rsid w:val="002E0DE0"/>
    <w:rsid w:val="002F178E"/>
    <w:rsid w:val="003336FF"/>
    <w:rsid w:val="0035490C"/>
    <w:rsid w:val="0036345C"/>
    <w:rsid w:val="003659BD"/>
    <w:rsid w:val="00370D00"/>
    <w:rsid w:val="0039088B"/>
    <w:rsid w:val="00392B10"/>
    <w:rsid w:val="003C225F"/>
    <w:rsid w:val="003D6B5D"/>
    <w:rsid w:val="00412B14"/>
    <w:rsid w:val="00431C96"/>
    <w:rsid w:val="00436A92"/>
    <w:rsid w:val="0043727B"/>
    <w:rsid w:val="004644B4"/>
    <w:rsid w:val="00472EF8"/>
    <w:rsid w:val="00477287"/>
    <w:rsid w:val="004847AB"/>
    <w:rsid w:val="004A2C39"/>
    <w:rsid w:val="004D19DA"/>
    <w:rsid w:val="004D2A95"/>
    <w:rsid w:val="004E7694"/>
    <w:rsid w:val="00501C6E"/>
    <w:rsid w:val="00502EF7"/>
    <w:rsid w:val="0050501D"/>
    <w:rsid w:val="00515987"/>
    <w:rsid w:val="005165AB"/>
    <w:rsid w:val="00520C68"/>
    <w:rsid w:val="0052290A"/>
    <w:rsid w:val="00532CF3"/>
    <w:rsid w:val="005544AE"/>
    <w:rsid w:val="00554E19"/>
    <w:rsid w:val="00560E2A"/>
    <w:rsid w:val="005754A6"/>
    <w:rsid w:val="005B0433"/>
    <w:rsid w:val="005B66D8"/>
    <w:rsid w:val="005C7BE3"/>
    <w:rsid w:val="005E17DE"/>
    <w:rsid w:val="005E5FC0"/>
    <w:rsid w:val="006006BA"/>
    <w:rsid w:val="0060308D"/>
    <w:rsid w:val="00604022"/>
    <w:rsid w:val="006431E8"/>
    <w:rsid w:val="006772E4"/>
    <w:rsid w:val="00695BCA"/>
    <w:rsid w:val="006A7756"/>
    <w:rsid w:val="006B2792"/>
    <w:rsid w:val="006C2D1B"/>
    <w:rsid w:val="006C4AEB"/>
    <w:rsid w:val="006D069D"/>
    <w:rsid w:val="006E4F98"/>
    <w:rsid w:val="00722D55"/>
    <w:rsid w:val="00746F4C"/>
    <w:rsid w:val="00751264"/>
    <w:rsid w:val="007664D6"/>
    <w:rsid w:val="00782022"/>
    <w:rsid w:val="007A02A2"/>
    <w:rsid w:val="007E3E98"/>
    <w:rsid w:val="00805BE3"/>
    <w:rsid w:val="00810604"/>
    <w:rsid w:val="00814DE3"/>
    <w:rsid w:val="00827AE7"/>
    <w:rsid w:val="008357AE"/>
    <w:rsid w:val="008442A7"/>
    <w:rsid w:val="00862BC7"/>
    <w:rsid w:val="00864DEA"/>
    <w:rsid w:val="008A0E8D"/>
    <w:rsid w:val="008C2694"/>
    <w:rsid w:val="008C6F5C"/>
    <w:rsid w:val="008E0D79"/>
    <w:rsid w:val="008F469C"/>
    <w:rsid w:val="009032E8"/>
    <w:rsid w:val="00916838"/>
    <w:rsid w:val="0096237B"/>
    <w:rsid w:val="009802FF"/>
    <w:rsid w:val="00993759"/>
    <w:rsid w:val="009A1530"/>
    <w:rsid w:val="009A5427"/>
    <w:rsid w:val="009B1EAA"/>
    <w:rsid w:val="009B2987"/>
    <w:rsid w:val="009B3AE0"/>
    <w:rsid w:val="009C22EF"/>
    <w:rsid w:val="009F680F"/>
    <w:rsid w:val="00A019C3"/>
    <w:rsid w:val="00A04F15"/>
    <w:rsid w:val="00A07EAA"/>
    <w:rsid w:val="00A10C78"/>
    <w:rsid w:val="00A13D52"/>
    <w:rsid w:val="00A220A7"/>
    <w:rsid w:val="00A61B5E"/>
    <w:rsid w:val="00A62DD4"/>
    <w:rsid w:val="00A63FE5"/>
    <w:rsid w:val="00A747C0"/>
    <w:rsid w:val="00A8200D"/>
    <w:rsid w:val="00A935EE"/>
    <w:rsid w:val="00AA76EE"/>
    <w:rsid w:val="00AB4A41"/>
    <w:rsid w:val="00AC3E3C"/>
    <w:rsid w:val="00AC61C6"/>
    <w:rsid w:val="00AF52A7"/>
    <w:rsid w:val="00B03530"/>
    <w:rsid w:val="00B22037"/>
    <w:rsid w:val="00B413D0"/>
    <w:rsid w:val="00B720FC"/>
    <w:rsid w:val="00BB0DE7"/>
    <w:rsid w:val="00BC1127"/>
    <w:rsid w:val="00BC67BC"/>
    <w:rsid w:val="00BE738F"/>
    <w:rsid w:val="00BF67E5"/>
    <w:rsid w:val="00C157B2"/>
    <w:rsid w:val="00C36980"/>
    <w:rsid w:val="00C36E92"/>
    <w:rsid w:val="00C41D64"/>
    <w:rsid w:val="00C52060"/>
    <w:rsid w:val="00C64417"/>
    <w:rsid w:val="00C665F5"/>
    <w:rsid w:val="00C66664"/>
    <w:rsid w:val="00C73601"/>
    <w:rsid w:val="00C80B17"/>
    <w:rsid w:val="00C92EC9"/>
    <w:rsid w:val="00CA2C2C"/>
    <w:rsid w:val="00CA6185"/>
    <w:rsid w:val="00CB4374"/>
    <w:rsid w:val="00D14DA7"/>
    <w:rsid w:val="00D43E37"/>
    <w:rsid w:val="00D44F92"/>
    <w:rsid w:val="00D51C77"/>
    <w:rsid w:val="00D52D10"/>
    <w:rsid w:val="00D569C9"/>
    <w:rsid w:val="00D71F04"/>
    <w:rsid w:val="00D82B76"/>
    <w:rsid w:val="00D857C2"/>
    <w:rsid w:val="00D90D03"/>
    <w:rsid w:val="00DB3DD4"/>
    <w:rsid w:val="00DE0B7E"/>
    <w:rsid w:val="00DE2AAD"/>
    <w:rsid w:val="00DE4C63"/>
    <w:rsid w:val="00DF151C"/>
    <w:rsid w:val="00DF3299"/>
    <w:rsid w:val="00E143A1"/>
    <w:rsid w:val="00E25527"/>
    <w:rsid w:val="00E42E83"/>
    <w:rsid w:val="00E52FF2"/>
    <w:rsid w:val="00E57285"/>
    <w:rsid w:val="00E65121"/>
    <w:rsid w:val="00E6621E"/>
    <w:rsid w:val="00E70372"/>
    <w:rsid w:val="00E71E17"/>
    <w:rsid w:val="00E84A64"/>
    <w:rsid w:val="00E95B3D"/>
    <w:rsid w:val="00EB1B44"/>
    <w:rsid w:val="00ED1F44"/>
    <w:rsid w:val="00EE27EF"/>
    <w:rsid w:val="00F02C4A"/>
    <w:rsid w:val="00F10B76"/>
    <w:rsid w:val="00F166E5"/>
    <w:rsid w:val="00F301DF"/>
    <w:rsid w:val="00F35052"/>
    <w:rsid w:val="00F52E1B"/>
    <w:rsid w:val="00F56352"/>
    <w:rsid w:val="00F61B80"/>
    <w:rsid w:val="00F64B1A"/>
    <w:rsid w:val="00F67E5E"/>
    <w:rsid w:val="00F94D3A"/>
    <w:rsid w:val="00FB1CCA"/>
    <w:rsid w:val="00FC5BA8"/>
    <w:rsid w:val="00FD69A5"/>
    <w:rsid w:val="00FD780A"/>
    <w:rsid w:val="00FE3474"/>
    <w:rsid w:val="00F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1F"/>
  </w:style>
  <w:style w:type="paragraph" w:styleId="Titre1">
    <w:name w:val="heading 1"/>
    <w:basedOn w:val="Normal"/>
    <w:next w:val="Normal"/>
    <w:link w:val="Titre1Car"/>
    <w:qFormat/>
    <w:rsid w:val="002B485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2B485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0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26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B485E"/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2B485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37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43727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F166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166E5"/>
    <w:rPr>
      <w:rFonts w:ascii="Calibri" w:eastAsia="Times New Roman" w:hAnsi="Calibri" w:cs="Calibri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F166E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166E5"/>
    <w:rPr>
      <w:rFonts w:ascii="Calibri" w:eastAsia="Times New Roman" w:hAnsi="Calibri" w:cs="Calibri"/>
      <w:sz w:val="24"/>
      <w:szCs w:val="24"/>
      <w:lang w:eastAsia="fr-FR"/>
    </w:rPr>
  </w:style>
  <w:style w:type="character" w:styleId="Numrodepage">
    <w:name w:val="page number"/>
    <w:basedOn w:val="Policepardfaut"/>
    <w:rsid w:val="00F166E5"/>
  </w:style>
  <w:style w:type="paragraph" w:styleId="Retraitcorpsdetexte3">
    <w:name w:val="Body Text Indent 3"/>
    <w:basedOn w:val="Normal"/>
    <w:link w:val="Retraitcorpsdetexte3Car"/>
    <w:rsid w:val="00F166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color w:val="FF0000"/>
      <w:sz w:val="28"/>
      <w:szCs w:val="28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F166E5"/>
    <w:rPr>
      <w:rFonts w:ascii="Calibri" w:eastAsia="Times New Roman" w:hAnsi="Calibri" w:cs="Calibri"/>
      <w:color w:val="FF0000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66E5"/>
  </w:style>
  <w:style w:type="paragraph" w:styleId="En-ttedetabledesmatires">
    <w:name w:val="TOC Heading"/>
    <w:basedOn w:val="Titre1"/>
    <w:next w:val="Normal"/>
    <w:uiPriority w:val="39"/>
    <w:unhideWhenUsed/>
    <w:qFormat/>
    <w:rsid w:val="002E0DE0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none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D857C2"/>
    <w:pPr>
      <w:tabs>
        <w:tab w:val="right" w:leader="dot" w:pos="9205"/>
      </w:tabs>
      <w:spacing w:after="120"/>
    </w:pPr>
    <w:rPr>
      <w:b/>
      <w:color w:val="00B0F0"/>
    </w:rPr>
  </w:style>
  <w:style w:type="paragraph" w:styleId="TM2">
    <w:name w:val="toc 2"/>
    <w:basedOn w:val="Normal"/>
    <w:next w:val="Normal"/>
    <w:autoRedefine/>
    <w:uiPriority w:val="39"/>
    <w:unhideWhenUsed/>
    <w:rsid w:val="002E0DE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E0DE0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E0D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2E0DE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oleObject" Target="file:///D:\Indicateurs%202014\indicateurs%20annuels%20%20s&#233;lectionn&#233;s%202013.xlsx!A!L2C1:L54C12" TargetMode="Externa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oleObject" Target="embeddings/Feuille_Microsoft_Office_Excel_97-20032.xls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file:///D:\Indicateurs%202014\Indicateurs%20mensuels%2006%202014.xls!Feuil1!L1C1:L70C5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Feuille_Microsoft_Office_Excel_97-20031.xls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b@brb.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D8617-4BDB-4A2D-A1A0-5C0E45E8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2974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KAIM</cp:lastModifiedBy>
  <cp:revision>2</cp:revision>
  <cp:lastPrinted>2014-09-04T07:31:00Z</cp:lastPrinted>
  <dcterms:created xsi:type="dcterms:W3CDTF">2014-09-04T08:21:00Z</dcterms:created>
  <dcterms:modified xsi:type="dcterms:W3CDTF">2014-09-04T08:21:00Z</dcterms:modified>
</cp:coreProperties>
</file>