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06" w:rsidRDefault="00AA0406" w:rsidP="00AA0406">
      <w:pPr>
        <w:jc w:val="center"/>
        <w:rPr>
          <w:noProof/>
        </w:rPr>
      </w:pPr>
      <w:bookmarkStart w:id="0" w:name="OLE_LINK1"/>
      <w:r>
        <w:rPr>
          <w:noProof/>
          <w:lang w:eastAsia="fr-FR"/>
        </w:rPr>
        <w:drawing>
          <wp:inline distT="0" distB="0" distL="0" distR="0">
            <wp:extent cx="1229360" cy="1107440"/>
            <wp:effectExtent l="19050" t="0" r="889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srcRect/>
                    <a:stretch>
                      <a:fillRect/>
                    </a:stretch>
                  </pic:blipFill>
                  <pic:spPr bwMode="auto">
                    <a:xfrm>
                      <a:off x="0" y="0"/>
                      <a:ext cx="1229360" cy="1107440"/>
                    </a:xfrm>
                    <a:prstGeom prst="rect">
                      <a:avLst/>
                    </a:prstGeom>
                    <a:noFill/>
                    <a:ln w="9525">
                      <a:noFill/>
                      <a:miter lim="800000"/>
                      <a:headEnd/>
                      <a:tailEnd/>
                    </a:ln>
                  </pic:spPr>
                </pic:pic>
              </a:graphicData>
            </a:graphic>
          </wp:inline>
        </w:drawing>
      </w:r>
    </w:p>
    <w:p w:rsidR="00AA0406" w:rsidRPr="000C46CA" w:rsidRDefault="00AA0406" w:rsidP="00AA0406">
      <w:pPr>
        <w:jc w:val="center"/>
        <w:rPr>
          <w:rFonts w:ascii="Arial Narrow" w:hAnsi="Arial Narrow" w:cs="Arial Narrow"/>
          <w:b/>
          <w:bCs/>
          <w:shadow/>
          <w:noProof/>
          <w:sz w:val="40"/>
          <w:szCs w:val="40"/>
        </w:rPr>
      </w:pPr>
      <w:r w:rsidRPr="000C46CA">
        <w:rPr>
          <w:rFonts w:ascii="Arial Narrow" w:hAnsi="Arial Narrow" w:cs="Arial Narrow"/>
          <w:b/>
          <w:bCs/>
          <w:shadow/>
          <w:noProof/>
          <w:sz w:val="40"/>
          <w:szCs w:val="40"/>
        </w:rPr>
        <w:t>BANQUE DE LA REPUBLIQUE DU BURUNDI</w:t>
      </w:r>
    </w:p>
    <w:p w:rsidR="00AA0406" w:rsidRDefault="00AA0406" w:rsidP="00AA0406">
      <w:pPr>
        <w:jc w:val="center"/>
        <w:rPr>
          <w:rFonts w:ascii="Arial Narrow" w:hAnsi="Arial Narrow" w:cs="Arial Narrow"/>
          <w:b/>
          <w:bCs/>
          <w:shadow/>
          <w:noProof/>
          <w:sz w:val="40"/>
          <w:szCs w:val="40"/>
        </w:rPr>
      </w:pPr>
      <w:r w:rsidRPr="000C46CA">
        <w:rPr>
          <w:rFonts w:ascii="Arial Narrow" w:hAnsi="Arial Narrow" w:cs="Arial Narrow"/>
          <w:b/>
          <w:bCs/>
          <w:shadow/>
          <w:noProof/>
          <w:sz w:val="40"/>
          <w:szCs w:val="40"/>
        </w:rPr>
        <w:t>SERVICE ETUDES</w:t>
      </w:r>
      <w:r>
        <w:rPr>
          <w:rFonts w:ascii="Arial Narrow" w:hAnsi="Arial Narrow" w:cs="Arial Narrow"/>
          <w:b/>
          <w:bCs/>
          <w:shadow/>
          <w:noProof/>
          <w:sz w:val="40"/>
          <w:szCs w:val="40"/>
        </w:rPr>
        <w:t xml:space="preserve"> ET STATISTIQUES</w:t>
      </w:r>
    </w:p>
    <w:p w:rsidR="00AA0406" w:rsidRPr="001B02C4" w:rsidRDefault="00B35FDF" w:rsidP="00AA0406">
      <w:pPr>
        <w:jc w:val="center"/>
        <w:rPr>
          <w:color w:val="0000FF"/>
          <w:sz w:val="36"/>
          <w:szCs w:val="36"/>
        </w:rPr>
      </w:pPr>
      <w:r>
        <w:rPr>
          <w:color w:val="0000FF"/>
          <w:sz w:val="36"/>
          <w:szCs w:val="36"/>
        </w:rPr>
      </w:r>
      <w:r>
        <w:rPr>
          <w:color w:val="0000FF"/>
          <w:sz w:val="36"/>
          <w:szCs w:val="36"/>
        </w:rPr>
        <w:pict>
          <v:group id="_x0000_s1029" editas="canvas" style="width:306pt;height:126pt;mso-position-horizontal-relative:char;mso-position-vertical-relative:line" coordorigin="4061,6971" coordsize="4896,2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061;top:6971;width:4896;height:2016" o:preferrelative="f">
              <v:fill o:detectmouseclick="t"/>
              <v:path o:extrusionok="t" o:connecttype="none"/>
              <o:lock v:ext="edit" text="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1" type="#_x0000_t80" style="position:absolute;left:4349;top:7115;width:4320;height:1728" fillcolor="silver">
              <v:textbox>
                <w:txbxContent>
                  <w:p w:rsidR="00AA0406" w:rsidRPr="00985730" w:rsidRDefault="00AA0406" w:rsidP="00AA0406">
                    <w:pPr>
                      <w:shd w:val="clear" w:color="auto" w:fill="C0C0C0"/>
                      <w:jc w:val="center"/>
                      <w:rPr>
                        <w:rFonts w:ascii="Arial Narrow" w:hAnsi="Arial Narrow" w:cs="Arial Narrow"/>
                        <w:b/>
                        <w:bCs/>
                        <w:color w:val="0000FF"/>
                        <w:sz w:val="52"/>
                        <w:szCs w:val="52"/>
                        <w:lang w:val="fr-BE"/>
                      </w:rPr>
                    </w:pPr>
                    <w:r w:rsidRPr="00985730">
                      <w:rPr>
                        <w:rFonts w:ascii="Arial Narrow" w:hAnsi="Arial Narrow" w:cs="Arial Narrow"/>
                        <w:b/>
                        <w:bCs/>
                        <w:color w:val="0000FF"/>
                        <w:sz w:val="52"/>
                        <w:szCs w:val="52"/>
                        <w:lang w:val="fr-BE"/>
                      </w:rPr>
                      <w:t>INDICATEURS DE CONJONCTURE</w:t>
                    </w:r>
                  </w:p>
                  <w:p w:rsidR="00AA0406" w:rsidRDefault="00AA0406" w:rsidP="00AA0406">
                    <w:pPr>
                      <w:jc w:val="center"/>
                    </w:pPr>
                  </w:p>
                </w:txbxContent>
              </v:textbox>
            </v:shape>
            <w10:wrap type="none"/>
            <w10:anchorlock/>
          </v:group>
        </w:pict>
      </w:r>
    </w:p>
    <w:bookmarkEnd w:id="0"/>
    <w:p w:rsidR="00AA0406" w:rsidRDefault="00AA0406" w:rsidP="00AA0406">
      <w:pPr>
        <w:pStyle w:val="Titre2"/>
        <w:rPr>
          <w:b w:val="0"/>
          <w:bCs w:val="0"/>
          <w:color w:val="0000FF"/>
          <w:sz w:val="24"/>
          <w:szCs w:val="24"/>
        </w:rPr>
      </w:pPr>
      <w:r w:rsidRPr="001B02C4">
        <w:t xml:space="preserve">     </w:t>
      </w:r>
    </w:p>
    <w:p w:rsidR="00AA0406" w:rsidRPr="001B02C4" w:rsidRDefault="00AA0406" w:rsidP="00AA0406">
      <w:pPr>
        <w:rPr>
          <w:b/>
          <w:bCs/>
          <w:color w:val="0000FF"/>
          <w:sz w:val="24"/>
          <w:szCs w:val="24"/>
        </w:rPr>
      </w:pPr>
    </w:p>
    <w:p w:rsidR="00AA0406" w:rsidRDefault="00AA0406" w:rsidP="00AA0406">
      <w:pPr>
        <w:rPr>
          <w:color w:val="0000FF"/>
          <w:sz w:val="24"/>
          <w:szCs w:val="24"/>
        </w:rPr>
      </w:pPr>
    </w:p>
    <w:p w:rsidR="00AA0406" w:rsidRPr="001B02C4" w:rsidRDefault="00B35FDF" w:rsidP="00AA0406">
      <w:pPr>
        <w:rPr>
          <w:color w:val="0000FF"/>
          <w:sz w:val="24"/>
          <w:szCs w:val="24"/>
        </w:rPr>
      </w:pPr>
      <w:r w:rsidRPr="00B35FDF">
        <w:rPr>
          <w:noProof/>
          <w:sz w:val="20"/>
          <w:szCs w:val="20"/>
        </w:rPr>
        <w:pict>
          <v:shape id="computr3" o:spid="_x0000_s1033" style="position:absolute;margin-left:99.75pt;margin-top:-75.55pt;width:297pt;height:262.35pt;z-index:251661312" coordsize="21600,21600" o:spt="100" adj="-11796480,,5400" path="m18250,17743r-693,-772l5429,16971r-693,772l18250,17743xem18250,17743t1155,1388l18712,18360r-14438,l3581,19131r15824,xem19405,19131t1155,1389l19867,19749r-16748,l2426,20520r18134,xem20560,20520,4620,16971r693,-771l7624,16200r,-2006l5891,14194,5891,r6122,l18135,r,10800l18135,14194r-1733,l16402,16200r1386,l19059,17743r1963,2160l21253,20057r116,309l21600,20674r,155l21600,20983r,154l21600,21291r,l21484,21446r-115,l21138,21600r-116,l10973,21600r-8894,l1848,21600r-115,-154l1617,21446r-115,-155l1386,21291r,-154l1386,20983r,-154l1502,20674r115,-308l1733,20057r231,-154l,19903,,10800,,2777r4620,l4620,16971t,m4620,16971r-462,463l2541,19286r-577,617l4620,16971xem7624,2314t8778,l16402,11880r-8778,l7624,2314xem578,4011t3465,l4043,4320r-3465,l578,4011xm7624,14194r8778,l16402,16200r-8778,e" fillcolor="#cff">
            <v:stroke joinstyle="miter"/>
            <v:formulas/>
            <v:path o:extrusionok="f" o:connecttype="custom" o:connectlocs="0,10800;10800,0;10800,21600;18135,10800" textboxrect="7811,2584,16359,11764"/>
            <o:lock v:ext="edit" verticies="t"/>
            <v:textbox style="mso-next-textbox:#computr3">
              <w:txbxContent>
                <w:p w:rsidR="00AA0406" w:rsidRPr="00985730" w:rsidRDefault="00AA0406" w:rsidP="00AA0406">
                  <w:pPr>
                    <w:jc w:val="center"/>
                    <w:rPr>
                      <w:b/>
                      <w:bCs/>
                      <w:i/>
                      <w:iCs/>
                      <w:color w:val="0000FF"/>
                      <w:sz w:val="24"/>
                      <w:szCs w:val="24"/>
                      <w:lang w:val="fr-BE"/>
                    </w:rPr>
                  </w:pPr>
                  <w:r w:rsidRPr="00985730">
                    <w:rPr>
                      <w:b/>
                      <w:bCs/>
                      <w:i/>
                      <w:iCs/>
                      <w:color w:val="0000FF"/>
                      <w:sz w:val="24"/>
                      <w:szCs w:val="24"/>
                      <w:lang w:val="fr-BE"/>
                    </w:rPr>
                    <w:t>Production, Finances Publiques, Monnaie et crédit, Commerce Extérieur,</w:t>
                  </w:r>
                  <w:r w:rsidRPr="005176E2">
                    <w:rPr>
                      <w:b/>
                      <w:bCs/>
                      <w:i/>
                      <w:iCs/>
                      <w:color w:val="0000FF"/>
                      <w:sz w:val="24"/>
                      <w:szCs w:val="24"/>
                      <w:lang w:val="fr-BE"/>
                    </w:rPr>
                    <w:t xml:space="preserve"> </w:t>
                  </w:r>
                  <w:r>
                    <w:rPr>
                      <w:b/>
                      <w:bCs/>
                      <w:i/>
                      <w:iCs/>
                      <w:color w:val="0000FF"/>
                      <w:sz w:val="24"/>
                      <w:szCs w:val="24"/>
                      <w:lang w:val="fr-BE"/>
                    </w:rPr>
                    <w:t>Indice des Prix et</w:t>
                  </w:r>
                  <w:r w:rsidRPr="00985730">
                    <w:rPr>
                      <w:b/>
                      <w:bCs/>
                      <w:i/>
                      <w:iCs/>
                      <w:color w:val="0000FF"/>
                      <w:sz w:val="24"/>
                      <w:szCs w:val="24"/>
                      <w:lang w:val="fr-BE"/>
                    </w:rPr>
                    <w:t xml:space="preserve"> Taux de change</w:t>
                  </w:r>
                  <w:r>
                    <w:rPr>
                      <w:b/>
                      <w:bCs/>
                      <w:i/>
                      <w:iCs/>
                      <w:color w:val="0000FF"/>
                      <w:sz w:val="24"/>
                      <w:szCs w:val="24"/>
                      <w:lang w:val="fr-BE"/>
                    </w:rPr>
                    <w:t xml:space="preserve"> </w:t>
                  </w:r>
                </w:p>
              </w:txbxContent>
            </v:textbox>
            <w10:wrap side="left"/>
            <w10:anchorlock/>
          </v:shape>
        </w:pict>
      </w:r>
    </w:p>
    <w:p w:rsidR="00AA0406" w:rsidRPr="001B02C4" w:rsidRDefault="00AA0406" w:rsidP="00AA0406">
      <w:pPr>
        <w:rPr>
          <w:color w:val="0000FF"/>
          <w:sz w:val="24"/>
          <w:szCs w:val="24"/>
        </w:rPr>
      </w:pPr>
    </w:p>
    <w:p w:rsidR="00AA0406" w:rsidRPr="001B02C4" w:rsidRDefault="00AA0406" w:rsidP="00AA0406">
      <w:pPr>
        <w:rPr>
          <w:color w:val="0000FF"/>
          <w:sz w:val="24"/>
          <w:szCs w:val="24"/>
        </w:rPr>
      </w:pPr>
    </w:p>
    <w:p w:rsidR="00AA0406" w:rsidRDefault="00AA0406" w:rsidP="00AA0406">
      <w:pPr>
        <w:rPr>
          <w:color w:val="0000FF"/>
          <w:sz w:val="24"/>
          <w:szCs w:val="24"/>
        </w:rPr>
      </w:pPr>
    </w:p>
    <w:p w:rsidR="00AA0406" w:rsidRDefault="00AA0406" w:rsidP="00AA0406">
      <w:pPr>
        <w:rPr>
          <w:color w:val="0000FF"/>
          <w:sz w:val="24"/>
          <w:szCs w:val="24"/>
        </w:rPr>
      </w:pPr>
    </w:p>
    <w:p w:rsidR="00AA0406" w:rsidRDefault="00AA0406" w:rsidP="00AA0406">
      <w:pPr>
        <w:rPr>
          <w:color w:val="0000FF"/>
          <w:sz w:val="24"/>
          <w:szCs w:val="24"/>
        </w:rPr>
      </w:pPr>
    </w:p>
    <w:p w:rsidR="00AA0406" w:rsidRPr="001B02C4" w:rsidRDefault="00AA0406" w:rsidP="00AA0406">
      <w:pPr>
        <w:rPr>
          <w:color w:val="0000FF"/>
          <w:sz w:val="24"/>
          <w:szCs w:val="24"/>
        </w:rPr>
      </w:pPr>
    </w:p>
    <w:p w:rsidR="00AA0406" w:rsidRDefault="00B35FDF" w:rsidP="00AA0406">
      <w:r>
        <w:rPr>
          <w:noProof/>
        </w:rPr>
        <w:pict>
          <v:shape id="desk1" o:spid="_x0000_s1032" style="position:absolute;margin-left:157.15pt;margin-top:17.15pt;width:204.65pt;height:36pt;z-index:251660288" coordsize="21600,21600" o:spt="100" adj="-11796480,,5400" path="m,l21600,r,21600l,21600,,xe" fillcolor="silver">
            <v:stroke joinstyle="miter"/>
            <v:shadow on="t" offset="6pt,6pt"/>
            <v:formulas/>
            <v:path o:connecttype="custom" o:connectlocs="0,0;21600,0;21600,21600;0,21600;10800,0;21600,10800;10800,21600;0,10800" textboxrect="1000,1000,20600,20600"/>
            <o:lock v:ext="edit" verticies="t"/>
            <v:textbox style="mso-next-textbox:#desk1">
              <w:txbxContent>
                <w:p w:rsidR="00AA0406" w:rsidRDefault="00AA0406" w:rsidP="00AA0406">
                  <w:pPr>
                    <w:jc w:val="center"/>
                    <w:rPr>
                      <w:sz w:val="44"/>
                      <w:szCs w:val="44"/>
                      <w:lang w:val="fr-BE"/>
                    </w:rPr>
                  </w:pPr>
                  <w:r>
                    <w:rPr>
                      <w:sz w:val="44"/>
                      <w:szCs w:val="44"/>
                      <w:lang w:val="fr-BE"/>
                    </w:rPr>
                    <w:t>MAI 2013</w:t>
                  </w:r>
                </w:p>
                <w:p w:rsidR="00AA0406" w:rsidRDefault="00AA0406" w:rsidP="00AA0406">
                  <w:pPr>
                    <w:jc w:val="center"/>
                    <w:rPr>
                      <w:sz w:val="44"/>
                      <w:szCs w:val="44"/>
                      <w:lang w:val="fr-BE"/>
                    </w:rPr>
                  </w:pPr>
                </w:p>
                <w:p w:rsidR="00AA0406" w:rsidRDefault="00AA0406" w:rsidP="00AA0406">
                  <w:pPr>
                    <w:jc w:val="center"/>
                    <w:rPr>
                      <w:sz w:val="44"/>
                      <w:szCs w:val="44"/>
                      <w:lang w:val="fr-BE"/>
                    </w:rPr>
                  </w:pPr>
                  <w:r>
                    <w:rPr>
                      <w:sz w:val="44"/>
                      <w:szCs w:val="44"/>
                      <w:lang w:val="fr-BE"/>
                    </w:rPr>
                    <w:t xml:space="preserve"> 2011</w:t>
                  </w:r>
                </w:p>
                <w:p w:rsidR="00AA0406" w:rsidRDefault="00AA0406" w:rsidP="00AA0406">
                  <w:pPr>
                    <w:jc w:val="center"/>
                    <w:rPr>
                      <w:sz w:val="44"/>
                      <w:szCs w:val="44"/>
                      <w:lang w:val="fr-BE"/>
                    </w:rPr>
                  </w:pPr>
                  <w:r>
                    <w:rPr>
                      <w:sz w:val="44"/>
                      <w:szCs w:val="44"/>
                      <w:lang w:val="fr-BE"/>
                    </w:rPr>
                    <w:t>2011</w:t>
                  </w:r>
                </w:p>
                <w:p w:rsidR="00AA0406" w:rsidRDefault="00AA0406" w:rsidP="00AA0406">
                  <w:pPr>
                    <w:jc w:val="center"/>
                    <w:rPr>
                      <w:sz w:val="44"/>
                      <w:szCs w:val="44"/>
                      <w:lang w:val="fr-BE"/>
                    </w:rPr>
                  </w:pPr>
                  <w:r>
                    <w:rPr>
                      <w:sz w:val="44"/>
                      <w:szCs w:val="44"/>
                      <w:lang w:val="fr-BE"/>
                    </w:rPr>
                    <w:t xml:space="preserve"> 2011</w:t>
                  </w:r>
                </w:p>
                <w:p w:rsidR="00AA0406" w:rsidRDefault="00AA0406" w:rsidP="00AA0406">
                  <w:pPr>
                    <w:rPr>
                      <w:sz w:val="44"/>
                      <w:szCs w:val="44"/>
                      <w:lang w:val="fr-BE"/>
                    </w:rPr>
                  </w:pPr>
                </w:p>
                <w:p w:rsidR="00AA0406" w:rsidRDefault="00AA0406" w:rsidP="00AA0406">
                  <w:pPr>
                    <w:rPr>
                      <w:sz w:val="44"/>
                      <w:szCs w:val="44"/>
                      <w:lang w:val="fr-BE"/>
                    </w:rPr>
                  </w:pPr>
                  <w:r>
                    <w:rPr>
                      <w:sz w:val="44"/>
                      <w:szCs w:val="44"/>
                      <w:lang w:val="fr-BE"/>
                    </w:rPr>
                    <w:t>2010</w:t>
                  </w:r>
                </w:p>
                <w:p w:rsidR="00AA0406" w:rsidRPr="007B139A" w:rsidRDefault="00AA0406" w:rsidP="00AA0406">
                  <w:pPr>
                    <w:rPr>
                      <w:sz w:val="44"/>
                      <w:szCs w:val="44"/>
                      <w:lang w:val="fr-BE"/>
                    </w:rPr>
                  </w:pPr>
                </w:p>
              </w:txbxContent>
            </v:textbox>
            <w10:wrap side="left"/>
            <w10:anchorlock/>
          </v:shape>
        </w:pict>
      </w:r>
    </w:p>
    <w:p w:rsidR="00487B57" w:rsidRDefault="00487B57" w:rsidP="00442051">
      <w:pPr>
        <w:jc w:val="both"/>
        <w:rPr>
          <w:rFonts w:cs="Arial"/>
          <w:b/>
          <w:bCs/>
          <w:color w:val="0070C0"/>
          <w:sz w:val="24"/>
          <w:szCs w:val="24"/>
        </w:rPr>
      </w:pPr>
    </w:p>
    <w:p w:rsidR="00487B57" w:rsidRDefault="00487B57" w:rsidP="00442051">
      <w:pPr>
        <w:jc w:val="both"/>
        <w:rPr>
          <w:rFonts w:cs="Arial"/>
          <w:b/>
          <w:bCs/>
          <w:color w:val="0070C0"/>
          <w:sz w:val="24"/>
          <w:szCs w:val="24"/>
        </w:rPr>
      </w:pPr>
    </w:p>
    <w:p w:rsidR="00487B57" w:rsidRDefault="00487B57" w:rsidP="00442051">
      <w:pPr>
        <w:jc w:val="both"/>
        <w:rPr>
          <w:rFonts w:cs="Arial"/>
          <w:b/>
          <w:bCs/>
          <w:color w:val="0070C0"/>
          <w:sz w:val="24"/>
          <w:szCs w:val="24"/>
        </w:rPr>
      </w:pPr>
    </w:p>
    <w:p w:rsidR="00487B57" w:rsidRPr="001F0DD7" w:rsidRDefault="00487B57" w:rsidP="00487B57">
      <w:pPr>
        <w:rPr>
          <w:rFonts w:ascii="Arial Narrow" w:hAnsi="Arial Narrow" w:cs="Arial Narrow"/>
          <w:b/>
          <w:bCs/>
          <w:color w:val="000000"/>
          <w:sz w:val="18"/>
          <w:szCs w:val="16"/>
        </w:rPr>
      </w:pPr>
      <w:r w:rsidRPr="001F0DD7">
        <w:rPr>
          <w:rFonts w:ascii="Tahoma" w:hAnsi="Tahoma" w:cs="Tahoma"/>
          <w:b/>
          <w:bCs/>
          <w:color w:val="000000"/>
          <w:sz w:val="18"/>
          <w:szCs w:val="16"/>
        </w:rPr>
        <w:t xml:space="preserve">     B</w:t>
      </w:r>
      <w:r w:rsidRPr="001F0DD7">
        <w:rPr>
          <w:rFonts w:ascii="Arial Narrow" w:hAnsi="Arial Narrow" w:cs="Arial Narrow"/>
          <w:b/>
          <w:bCs/>
          <w:color w:val="000000"/>
          <w:sz w:val="18"/>
          <w:szCs w:val="16"/>
        </w:rPr>
        <w:t xml:space="preserve">.P. 705 BUJUMBURA   Tél: (257) 22 20 40 00  Fax : (257) 22 </w:t>
      </w:r>
      <w:proofErr w:type="spellStart"/>
      <w:r w:rsidRPr="001F0DD7">
        <w:rPr>
          <w:rFonts w:ascii="Arial Narrow" w:hAnsi="Arial Narrow" w:cs="Arial Narrow"/>
          <w:b/>
          <w:bCs/>
          <w:color w:val="000000"/>
          <w:sz w:val="18"/>
          <w:szCs w:val="16"/>
        </w:rPr>
        <w:t>22</w:t>
      </w:r>
      <w:proofErr w:type="spellEnd"/>
      <w:r w:rsidRPr="001F0DD7">
        <w:rPr>
          <w:rFonts w:ascii="Arial Narrow" w:hAnsi="Arial Narrow" w:cs="Arial Narrow"/>
          <w:b/>
          <w:bCs/>
          <w:color w:val="000000"/>
          <w:sz w:val="18"/>
          <w:szCs w:val="16"/>
        </w:rPr>
        <w:t xml:space="preserve"> 31 28 - E-mail </w:t>
      </w:r>
      <w:r w:rsidRPr="001F0DD7">
        <w:rPr>
          <w:rFonts w:ascii="Arial Narrow" w:hAnsi="Arial Narrow" w:cs="Arial Narrow"/>
          <w:color w:val="000000"/>
          <w:sz w:val="18"/>
          <w:szCs w:val="16"/>
        </w:rPr>
        <w:t xml:space="preserve">: </w:t>
      </w:r>
      <w:hyperlink r:id="rId9" w:history="1">
        <w:r w:rsidRPr="001F0DD7">
          <w:rPr>
            <w:rStyle w:val="Lienhypertexte"/>
            <w:rFonts w:ascii="Arial Narrow" w:hAnsi="Arial Narrow" w:cs="Arial Narrow"/>
            <w:b/>
            <w:bCs/>
            <w:sz w:val="18"/>
            <w:szCs w:val="16"/>
          </w:rPr>
          <w:t>brb@brb.bi</w:t>
        </w:r>
      </w:hyperlink>
      <w:r w:rsidRPr="001F0DD7">
        <w:rPr>
          <w:rFonts w:ascii="Arial Narrow" w:hAnsi="Arial Narrow" w:cs="Arial Narrow"/>
          <w:b/>
          <w:bCs/>
          <w:color w:val="000000"/>
          <w:sz w:val="18"/>
          <w:szCs w:val="16"/>
        </w:rPr>
        <w:t xml:space="preserve">    - Site Web : </w:t>
      </w:r>
      <w:r w:rsidRPr="001F0DD7">
        <w:rPr>
          <w:rFonts w:ascii="Arial Narrow" w:hAnsi="Arial Narrow" w:cs="Arial Narrow"/>
          <w:b/>
          <w:bCs/>
          <w:color w:val="0000FF"/>
          <w:sz w:val="18"/>
          <w:szCs w:val="16"/>
        </w:rPr>
        <w:t>www.brb.bi</w:t>
      </w:r>
    </w:p>
    <w:p w:rsidR="00487B57" w:rsidRDefault="00487B57" w:rsidP="00442051">
      <w:pPr>
        <w:jc w:val="both"/>
        <w:rPr>
          <w:rFonts w:cs="Arial"/>
          <w:b/>
          <w:bCs/>
          <w:color w:val="0070C0"/>
          <w:sz w:val="24"/>
          <w:szCs w:val="24"/>
        </w:rPr>
      </w:pPr>
    </w:p>
    <w:p w:rsidR="00487B57" w:rsidRDefault="00487B57" w:rsidP="00442051">
      <w:pPr>
        <w:jc w:val="both"/>
        <w:rPr>
          <w:rFonts w:cs="Arial"/>
          <w:b/>
          <w:bCs/>
          <w:color w:val="0070C0"/>
          <w:sz w:val="24"/>
          <w:szCs w:val="24"/>
        </w:rPr>
      </w:pPr>
    </w:p>
    <w:p w:rsidR="00E60ED1" w:rsidRDefault="00E60ED1" w:rsidP="00442051">
      <w:pPr>
        <w:jc w:val="both"/>
        <w:rPr>
          <w:rFonts w:cs="Arial"/>
          <w:b/>
          <w:bCs/>
          <w:color w:val="0070C0"/>
          <w:sz w:val="24"/>
          <w:szCs w:val="24"/>
        </w:rPr>
      </w:pPr>
      <w:r>
        <w:rPr>
          <w:rFonts w:cs="Arial"/>
          <w:b/>
          <w:bCs/>
          <w:color w:val="0070C0"/>
          <w:sz w:val="24"/>
          <w:szCs w:val="24"/>
        </w:rPr>
        <w:t>TABLE DES MATIERES</w:t>
      </w:r>
    </w:p>
    <w:sdt>
      <w:sdtPr>
        <w:rPr>
          <w:rFonts w:cstheme="minorBidi"/>
          <w:b w:val="0"/>
          <w:noProof w:val="0"/>
        </w:rPr>
        <w:id w:val="19388903"/>
        <w:docPartObj>
          <w:docPartGallery w:val="Table of Contents"/>
          <w:docPartUnique/>
        </w:docPartObj>
      </w:sdtPr>
      <w:sdtContent>
        <w:p w:rsidR="003A2458" w:rsidRDefault="00B35FDF">
          <w:pPr>
            <w:pStyle w:val="TM1"/>
            <w:rPr>
              <w:rFonts w:eastAsiaTheme="minorEastAsia" w:cstheme="minorBidi"/>
              <w:b w:val="0"/>
              <w:lang w:eastAsia="fr-FR"/>
            </w:rPr>
          </w:pPr>
          <w:r w:rsidRPr="00B35FDF">
            <w:fldChar w:fldCharType="begin"/>
          </w:r>
          <w:r w:rsidR="00E60ED1">
            <w:instrText xml:space="preserve"> TOC \o "1-3" \h \z \u </w:instrText>
          </w:r>
          <w:r w:rsidRPr="00B35FDF">
            <w:fldChar w:fldCharType="separate"/>
          </w:r>
          <w:hyperlink w:anchor="_Toc362444374" w:history="1">
            <w:r w:rsidR="003A2458" w:rsidRPr="00D11DBB">
              <w:rPr>
                <w:rStyle w:val="Lienhypertexte"/>
                <w:rFonts w:ascii="Calibri" w:eastAsia="Times New Roman" w:hAnsi="Calibri" w:cs="Arial"/>
              </w:rPr>
              <w:t>I. INTRODUCTION</w:t>
            </w:r>
            <w:r w:rsidR="003A2458">
              <w:rPr>
                <w:webHidden/>
              </w:rPr>
              <w:tab/>
            </w:r>
            <w:r>
              <w:rPr>
                <w:webHidden/>
              </w:rPr>
              <w:fldChar w:fldCharType="begin"/>
            </w:r>
            <w:r w:rsidR="003A2458">
              <w:rPr>
                <w:webHidden/>
              </w:rPr>
              <w:instrText xml:space="preserve"> PAGEREF _Toc362444374 \h </w:instrText>
            </w:r>
            <w:r>
              <w:rPr>
                <w:webHidden/>
              </w:rPr>
            </w:r>
            <w:r>
              <w:rPr>
                <w:webHidden/>
              </w:rPr>
              <w:fldChar w:fldCharType="separate"/>
            </w:r>
            <w:r w:rsidR="00EB4551">
              <w:rPr>
                <w:webHidden/>
              </w:rPr>
              <w:t>1</w:t>
            </w:r>
            <w:r>
              <w:rPr>
                <w:webHidden/>
              </w:rPr>
              <w:fldChar w:fldCharType="end"/>
            </w:r>
          </w:hyperlink>
        </w:p>
        <w:p w:rsidR="003A2458" w:rsidRDefault="00B35FDF">
          <w:pPr>
            <w:pStyle w:val="TM1"/>
            <w:rPr>
              <w:rFonts w:eastAsiaTheme="minorEastAsia" w:cstheme="minorBidi"/>
              <w:b w:val="0"/>
              <w:lang w:eastAsia="fr-FR"/>
            </w:rPr>
          </w:pPr>
          <w:hyperlink w:anchor="_Toc362444375" w:history="1">
            <w:r w:rsidR="003A2458" w:rsidRPr="00D11DBB">
              <w:rPr>
                <w:rStyle w:val="Lienhypertexte"/>
                <w:rFonts w:ascii="Calibri" w:eastAsia="Calibri" w:hAnsi="Calibri"/>
              </w:rPr>
              <w:t>II. PRODUCTION</w:t>
            </w:r>
            <w:r w:rsidR="003A2458">
              <w:rPr>
                <w:webHidden/>
              </w:rPr>
              <w:tab/>
            </w:r>
            <w:r>
              <w:rPr>
                <w:webHidden/>
              </w:rPr>
              <w:fldChar w:fldCharType="begin"/>
            </w:r>
            <w:r w:rsidR="003A2458">
              <w:rPr>
                <w:webHidden/>
              </w:rPr>
              <w:instrText xml:space="preserve"> PAGEREF _Toc362444375 \h </w:instrText>
            </w:r>
            <w:r>
              <w:rPr>
                <w:webHidden/>
              </w:rPr>
            </w:r>
            <w:r>
              <w:rPr>
                <w:webHidden/>
              </w:rPr>
              <w:fldChar w:fldCharType="separate"/>
            </w:r>
            <w:r w:rsidR="00EB4551">
              <w:rPr>
                <w:webHidden/>
              </w:rPr>
              <w:t>1</w:t>
            </w:r>
            <w:r>
              <w:rPr>
                <w:webHidden/>
              </w:rPr>
              <w:fldChar w:fldCharType="end"/>
            </w:r>
          </w:hyperlink>
        </w:p>
        <w:p w:rsidR="003A2458" w:rsidRDefault="00B35FDF">
          <w:pPr>
            <w:pStyle w:val="TM3"/>
            <w:tabs>
              <w:tab w:val="right" w:leader="dot" w:pos="9062"/>
            </w:tabs>
            <w:rPr>
              <w:rFonts w:eastAsiaTheme="minorEastAsia"/>
              <w:noProof/>
              <w:lang w:eastAsia="fr-FR"/>
            </w:rPr>
          </w:pPr>
          <w:hyperlink w:anchor="_Toc362444376" w:history="1">
            <w:r w:rsidR="003A2458" w:rsidRPr="00D11DBB">
              <w:rPr>
                <w:rStyle w:val="Lienhypertexte"/>
                <w:rFonts w:ascii="Calibri" w:eastAsia="Times New Roman" w:hAnsi="Calibri" w:cs="Calibri"/>
                <w:noProof/>
              </w:rPr>
              <w:t>Indice de la production industrielle</w:t>
            </w:r>
            <w:r w:rsidR="003A2458">
              <w:rPr>
                <w:noProof/>
                <w:webHidden/>
              </w:rPr>
              <w:tab/>
            </w:r>
            <w:r>
              <w:rPr>
                <w:noProof/>
                <w:webHidden/>
              </w:rPr>
              <w:fldChar w:fldCharType="begin"/>
            </w:r>
            <w:r w:rsidR="003A2458">
              <w:rPr>
                <w:noProof/>
                <w:webHidden/>
              </w:rPr>
              <w:instrText xml:space="preserve"> PAGEREF _Toc362444376 \h </w:instrText>
            </w:r>
            <w:r>
              <w:rPr>
                <w:noProof/>
                <w:webHidden/>
              </w:rPr>
            </w:r>
            <w:r>
              <w:rPr>
                <w:noProof/>
                <w:webHidden/>
              </w:rPr>
              <w:fldChar w:fldCharType="separate"/>
            </w:r>
            <w:r w:rsidR="00EB4551">
              <w:rPr>
                <w:noProof/>
                <w:webHidden/>
              </w:rPr>
              <w:t>1</w:t>
            </w:r>
            <w:r>
              <w:rPr>
                <w:noProof/>
                <w:webHidden/>
              </w:rPr>
              <w:fldChar w:fldCharType="end"/>
            </w:r>
          </w:hyperlink>
        </w:p>
        <w:p w:rsidR="003A2458" w:rsidRDefault="00B35FDF">
          <w:pPr>
            <w:pStyle w:val="TM3"/>
            <w:tabs>
              <w:tab w:val="right" w:leader="dot" w:pos="9062"/>
            </w:tabs>
            <w:rPr>
              <w:rFonts w:eastAsiaTheme="minorEastAsia"/>
              <w:noProof/>
              <w:lang w:eastAsia="fr-FR"/>
            </w:rPr>
          </w:pPr>
          <w:hyperlink w:anchor="_Toc362444377" w:history="1">
            <w:r w:rsidR="003A2458" w:rsidRPr="00D11DBB">
              <w:rPr>
                <w:rStyle w:val="Lienhypertexte"/>
                <w:rFonts w:ascii="Calibri" w:eastAsia="Times New Roman" w:hAnsi="Calibri" w:cs="Times New Roman"/>
                <w:noProof/>
              </w:rPr>
              <w:t>Café</w:t>
            </w:r>
            <w:r w:rsidR="003A2458">
              <w:rPr>
                <w:noProof/>
                <w:webHidden/>
              </w:rPr>
              <w:tab/>
            </w:r>
            <w:r>
              <w:rPr>
                <w:noProof/>
                <w:webHidden/>
              </w:rPr>
              <w:fldChar w:fldCharType="begin"/>
            </w:r>
            <w:r w:rsidR="003A2458">
              <w:rPr>
                <w:noProof/>
                <w:webHidden/>
              </w:rPr>
              <w:instrText xml:space="preserve"> PAGEREF _Toc362444377 \h </w:instrText>
            </w:r>
            <w:r>
              <w:rPr>
                <w:noProof/>
                <w:webHidden/>
              </w:rPr>
            </w:r>
            <w:r>
              <w:rPr>
                <w:noProof/>
                <w:webHidden/>
              </w:rPr>
              <w:fldChar w:fldCharType="separate"/>
            </w:r>
            <w:r w:rsidR="00EB4551">
              <w:rPr>
                <w:noProof/>
                <w:webHidden/>
              </w:rPr>
              <w:t>1</w:t>
            </w:r>
            <w:r>
              <w:rPr>
                <w:noProof/>
                <w:webHidden/>
              </w:rPr>
              <w:fldChar w:fldCharType="end"/>
            </w:r>
          </w:hyperlink>
        </w:p>
        <w:p w:rsidR="003A2458" w:rsidRDefault="00B35FDF">
          <w:pPr>
            <w:pStyle w:val="TM3"/>
            <w:tabs>
              <w:tab w:val="right" w:leader="dot" w:pos="9062"/>
            </w:tabs>
            <w:rPr>
              <w:rFonts w:eastAsiaTheme="minorEastAsia"/>
              <w:noProof/>
              <w:lang w:eastAsia="fr-FR"/>
            </w:rPr>
          </w:pPr>
          <w:hyperlink w:anchor="_Toc362444378" w:history="1">
            <w:r w:rsidR="003A2458" w:rsidRPr="00D11DBB">
              <w:rPr>
                <w:rStyle w:val="Lienhypertexte"/>
                <w:rFonts w:ascii="Calibri" w:eastAsia="Times New Roman" w:hAnsi="Calibri" w:cs="Times New Roman"/>
                <w:noProof/>
              </w:rPr>
              <w:t>Thé</w:t>
            </w:r>
            <w:r w:rsidR="003A2458">
              <w:rPr>
                <w:noProof/>
                <w:webHidden/>
              </w:rPr>
              <w:tab/>
            </w:r>
            <w:r>
              <w:rPr>
                <w:noProof/>
                <w:webHidden/>
              </w:rPr>
              <w:fldChar w:fldCharType="begin"/>
            </w:r>
            <w:r w:rsidR="003A2458">
              <w:rPr>
                <w:noProof/>
                <w:webHidden/>
              </w:rPr>
              <w:instrText xml:space="preserve"> PAGEREF _Toc362444378 \h </w:instrText>
            </w:r>
            <w:r>
              <w:rPr>
                <w:noProof/>
                <w:webHidden/>
              </w:rPr>
            </w:r>
            <w:r>
              <w:rPr>
                <w:noProof/>
                <w:webHidden/>
              </w:rPr>
              <w:fldChar w:fldCharType="separate"/>
            </w:r>
            <w:r w:rsidR="00EB4551">
              <w:rPr>
                <w:noProof/>
                <w:webHidden/>
              </w:rPr>
              <w:t>1</w:t>
            </w:r>
            <w:r>
              <w:rPr>
                <w:noProof/>
                <w:webHidden/>
              </w:rPr>
              <w:fldChar w:fldCharType="end"/>
            </w:r>
          </w:hyperlink>
        </w:p>
        <w:p w:rsidR="003A2458" w:rsidRDefault="00B35FDF">
          <w:pPr>
            <w:pStyle w:val="TM1"/>
            <w:rPr>
              <w:rFonts w:eastAsiaTheme="minorEastAsia" w:cstheme="minorBidi"/>
              <w:b w:val="0"/>
              <w:lang w:eastAsia="fr-FR"/>
            </w:rPr>
          </w:pPr>
          <w:hyperlink w:anchor="_Toc362444379" w:history="1">
            <w:r w:rsidR="003A2458" w:rsidRPr="00D11DBB">
              <w:rPr>
                <w:rStyle w:val="Lienhypertexte"/>
                <w:lang w:val="fr-BE"/>
              </w:rPr>
              <w:t>III. INDICE DES PRIX A LA CONSOMMATION</w:t>
            </w:r>
            <w:r w:rsidR="003A2458">
              <w:rPr>
                <w:webHidden/>
              </w:rPr>
              <w:tab/>
            </w:r>
            <w:r>
              <w:rPr>
                <w:webHidden/>
              </w:rPr>
              <w:fldChar w:fldCharType="begin"/>
            </w:r>
            <w:r w:rsidR="003A2458">
              <w:rPr>
                <w:webHidden/>
              </w:rPr>
              <w:instrText xml:space="preserve"> PAGEREF _Toc362444379 \h </w:instrText>
            </w:r>
            <w:r>
              <w:rPr>
                <w:webHidden/>
              </w:rPr>
            </w:r>
            <w:r>
              <w:rPr>
                <w:webHidden/>
              </w:rPr>
              <w:fldChar w:fldCharType="separate"/>
            </w:r>
            <w:r w:rsidR="00EB4551">
              <w:rPr>
                <w:webHidden/>
              </w:rPr>
              <w:t>1</w:t>
            </w:r>
            <w:r>
              <w:rPr>
                <w:webHidden/>
              </w:rPr>
              <w:fldChar w:fldCharType="end"/>
            </w:r>
          </w:hyperlink>
        </w:p>
        <w:p w:rsidR="003A2458" w:rsidRDefault="00B35FDF">
          <w:pPr>
            <w:pStyle w:val="TM1"/>
            <w:rPr>
              <w:rFonts w:eastAsiaTheme="minorEastAsia" w:cstheme="minorBidi"/>
              <w:b w:val="0"/>
              <w:lang w:eastAsia="fr-FR"/>
            </w:rPr>
          </w:pPr>
          <w:hyperlink w:anchor="_Toc362444380" w:history="1">
            <w:r w:rsidR="003A2458" w:rsidRPr="00D11DBB">
              <w:rPr>
                <w:rStyle w:val="Lienhypertexte"/>
              </w:rPr>
              <w:t>IV. FINANCES PUBLIQUES</w:t>
            </w:r>
            <w:r w:rsidR="003A2458">
              <w:rPr>
                <w:webHidden/>
              </w:rPr>
              <w:tab/>
            </w:r>
            <w:r>
              <w:rPr>
                <w:webHidden/>
              </w:rPr>
              <w:fldChar w:fldCharType="begin"/>
            </w:r>
            <w:r w:rsidR="003A2458">
              <w:rPr>
                <w:webHidden/>
              </w:rPr>
              <w:instrText xml:space="preserve"> PAGEREF _Toc362444380 \h </w:instrText>
            </w:r>
            <w:r>
              <w:rPr>
                <w:webHidden/>
              </w:rPr>
            </w:r>
            <w:r>
              <w:rPr>
                <w:webHidden/>
              </w:rPr>
              <w:fldChar w:fldCharType="separate"/>
            </w:r>
            <w:r w:rsidR="00EB4551">
              <w:rPr>
                <w:webHidden/>
              </w:rPr>
              <w:t>2</w:t>
            </w:r>
            <w:r>
              <w:rPr>
                <w:webHidden/>
              </w:rPr>
              <w:fldChar w:fldCharType="end"/>
            </w:r>
          </w:hyperlink>
        </w:p>
        <w:p w:rsidR="003A2458" w:rsidRDefault="00B35FDF">
          <w:pPr>
            <w:pStyle w:val="TM2"/>
            <w:tabs>
              <w:tab w:val="right" w:leader="dot" w:pos="9062"/>
            </w:tabs>
            <w:rPr>
              <w:rFonts w:eastAsiaTheme="minorEastAsia"/>
              <w:noProof/>
              <w:lang w:eastAsia="fr-FR"/>
            </w:rPr>
          </w:pPr>
          <w:hyperlink w:anchor="_Toc362444381" w:history="1">
            <w:r w:rsidR="003A2458" w:rsidRPr="00D11DBB">
              <w:rPr>
                <w:rStyle w:val="Lienhypertexte"/>
                <w:noProof/>
              </w:rPr>
              <w:t>Recettes</w:t>
            </w:r>
            <w:r w:rsidR="003A2458">
              <w:rPr>
                <w:noProof/>
                <w:webHidden/>
              </w:rPr>
              <w:tab/>
            </w:r>
            <w:r>
              <w:rPr>
                <w:noProof/>
                <w:webHidden/>
              </w:rPr>
              <w:fldChar w:fldCharType="begin"/>
            </w:r>
            <w:r w:rsidR="003A2458">
              <w:rPr>
                <w:noProof/>
                <w:webHidden/>
              </w:rPr>
              <w:instrText xml:space="preserve"> PAGEREF _Toc362444381 \h </w:instrText>
            </w:r>
            <w:r>
              <w:rPr>
                <w:noProof/>
                <w:webHidden/>
              </w:rPr>
            </w:r>
            <w:r>
              <w:rPr>
                <w:noProof/>
                <w:webHidden/>
              </w:rPr>
              <w:fldChar w:fldCharType="separate"/>
            </w:r>
            <w:r w:rsidR="00EB4551">
              <w:rPr>
                <w:noProof/>
                <w:webHidden/>
              </w:rPr>
              <w:t>2</w:t>
            </w:r>
            <w:r>
              <w:rPr>
                <w:noProof/>
                <w:webHidden/>
              </w:rPr>
              <w:fldChar w:fldCharType="end"/>
            </w:r>
          </w:hyperlink>
        </w:p>
        <w:p w:rsidR="003A2458" w:rsidRDefault="00B35FDF">
          <w:pPr>
            <w:pStyle w:val="TM2"/>
            <w:tabs>
              <w:tab w:val="right" w:leader="dot" w:pos="9062"/>
            </w:tabs>
            <w:rPr>
              <w:rFonts w:eastAsiaTheme="minorEastAsia"/>
              <w:noProof/>
              <w:lang w:eastAsia="fr-FR"/>
            </w:rPr>
          </w:pPr>
          <w:hyperlink w:anchor="_Toc362444382" w:history="1">
            <w:r w:rsidR="003A2458" w:rsidRPr="00D11DBB">
              <w:rPr>
                <w:rStyle w:val="Lienhypertexte"/>
                <w:noProof/>
              </w:rPr>
              <w:t>Dépenses</w:t>
            </w:r>
            <w:r w:rsidR="003A2458">
              <w:rPr>
                <w:noProof/>
                <w:webHidden/>
              </w:rPr>
              <w:tab/>
            </w:r>
            <w:r>
              <w:rPr>
                <w:noProof/>
                <w:webHidden/>
              </w:rPr>
              <w:fldChar w:fldCharType="begin"/>
            </w:r>
            <w:r w:rsidR="003A2458">
              <w:rPr>
                <w:noProof/>
                <w:webHidden/>
              </w:rPr>
              <w:instrText xml:space="preserve"> PAGEREF _Toc362444382 \h </w:instrText>
            </w:r>
            <w:r>
              <w:rPr>
                <w:noProof/>
                <w:webHidden/>
              </w:rPr>
            </w:r>
            <w:r>
              <w:rPr>
                <w:noProof/>
                <w:webHidden/>
              </w:rPr>
              <w:fldChar w:fldCharType="separate"/>
            </w:r>
            <w:r w:rsidR="00EB4551">
              <w:rPr>
                <w:noProof/>
                <w:webHidden/>
              </w:rPr>
              <w:t>2</w:t>
            </w:r>
            <w:r>
              <w:rPr>
                <w:noProof/>
                <w:webHidden/>
              </w:rPr>
              <w:fldChar w:fldCharType="end"/>
            </w:r>
          </w:hyperlink>
        </w:p>
        <w:p w:rsidR="003A2458" w:rsidRDefault="00B35FDF">
          <w:pPr>
            <w:pStyle w:val="TM2"/>
            <w:tabs>
              <w:tab w:val="right" w:leader="dot" w:pos="9062"/>
            </w:tabs>
            <w:rPr>
              <w:rFonts w:eastAsiaTheme="minorEastAsia"/>
              <w:noProof/>
              <w:lang w:eastAsia="fr-FR"/>
            </w:rPr>
          </w:pPr>
          <w:hyperlink w:anchor="_Toc362444383" w:history="1">
            <w:r w:rsidR="003A2458" w:rsidRPr="00D11DBB">
              <w:rPr>
                <w:rStyle w:val="Lienhypertexte"/>
                <w:noProof/>
              </w:rPr>
              <w:t>Dette publique</w:t>
            </w:r>
            <w:r w:rsidR="003A2458">
              <w:rPr>
                <w:noProof/>
                <w:webHidden/>
              </w:rPr>
              <w:tab/>
            </w:r>
            <w:r>
              <w:rPr>
                <w:noProof/>
                <w:webHidden/>
              </w:rPr>
              <w:fldChar w:fldCharType="begin"/>
            </w:r>
            <w:r w:rsidR="003A2458">
              <w:rPr>
                <w:noProof/>
                <w:webHidden/>
              </w:rPr>
              <w:instrText xml:space="preserve"> PAGEREF _Toc362444383 \h </w:instrText>
            </w:r>
            <w:r>
              <w:rPr>
                <w:noProof/>
                <w:webHidden/>
              </w:rPr>
            </w:r>
            <w:r>
              <w:rPr>
                <w:noProof/>
                <w:webHidden/>
              </w:rPr>
              <w:fldChar w:fldCharType="separate"/>
            </w:r>
            <w:r w:rsidR="00EB4551">
              <w:rPr>
                <w:noProof/>
                <w:webHidden/>
              </w:rPr>
              <w:t>2</w:t>
            </w:r>
            <w:r>
              <w:rPr>
                <w:noProof/>
                <w:webHidden/>
              </w:rPr>
              <w:fldChar w:fldCharType="end"/>
            </w:r>
          </w:hyperlink>
        </w:p>
        <w:p w:rsidR="003A2458" w:rsidRDefault="00B35FDF">
          <w:pPr>
            <w:pStyle w:val="TM3"/>
            <w:tabs>
              <w:tab w:val="right" w:leader="dot" w:pos="9062"/>
            </w:tabs>
            <w:rPr>
              <w:rFonts w:eastAsiaTheme="minorEastAsia"/>
              <w:noProof/>
              <w:lang w:eastAsia="fr-FR"/>
            </w:rPr>
          </w:pPr>
          <w:hyperlink w:anchor="_Toc362444384" w:history="1">
            <w:r w:rsidR="003A2458" w:rsidRPr="00D11DBB">
              <w:rPr>
                <w:rStyle w:val="Lienhypertexte"/>
                <w:noProof/>
              </w:rPr>
              <w:t>- Dette intérieure</w:t>
            </w:r>
            <w:r w:rsidR="003A2458">
              <w:rPr>
                <w:noProof/>
                <w:webHidden/>
              </w:rPr>
              <w:tab/>
            </w:r>
            <w:r>
              <w:rPr>
                <w:noProof/>
                <w:webHidden/>
              </w:rPr>
              <w:fldChar w:fldCharType="begin"/>
            </w:r>
            <w:r w:rsidR="003A2458">
              <w:rPr>
                <w:noProof/>
                <w:webHidden/>
              </w:rPr>
              <w:instrText xml:space="preserve"> PAGEREF _Toc362444384 \h </w:instrText>
            </w:r>
            <w:r>
              <w:rPr>
                <w:noProof/>
                <w:webHidden/>
              </w:rPr>
            </w:r>
            <w:r>
              <w:rPr>
                <w:noProof/>
                <w:webHidden/>
              </w:rPr>
              <w:fldChar w:fldCharType="separate"/>
            </w:r>
            <w:r w:rsidR="00EB4551">
              <w:rPr>
                <w:noProof/>
                <w:webHidden/>
              </w:rPr>
              <w:t>2</w:t>
            </w:r>
            <w:r>
              <w:rPr>
                <w:noProof/>
                <w:webHidden/>
              </w:rPr>
              <w:fldChar w:fldCharType="end"/>
            </w:r>
          </w:hyperlink>
        </w:p>
        <w:p w:rsidR="003A2458" w:rsidRDefault="00B35FDF">
          <w:pPr>
            <w:pStyle w:val="TM3"/>
            <w:tabs>
              <w:tab w:val="right" w:leader="dot" w:pos="9062"/>
            </w:tabs>
            <w:rPr>
              <w:rFonts w:eastAsiaTheme="minorEastAsia"/>
              <w:noProof/>
              <w:lang w:eastAsia="fr-FR"/>
            </w:rPr>
          </w:pPr>
          <w:hyperlink w:anchor="_Toc362444385" w:history="1">
            <w:r w:rsidR="003A2458" w:rsidRPr="00D11DBB">
              <w:rPr>
                <w:rStyle w:val="Lienhypertexte"/>
                <w:noProof/>
              </w:rPr>
              <w:t>- Dette extérieure</w:t>
            </w:r>
            <w:r w:rsidR="003A2458">
              <w:rPr>
                <w:noProof/>
                <w:webHidden/>
              </w:rPr>
              <w:tab/>
            </w:r>
            <w:r>
              <w:rPr>
                <w:noProof/>
                <w:webHidden/>
              </w:rPr>
              <w:fldChar w:fldCharType="begin"/>
            </w:r>
            <w:r w:rsidR="003A2458">
              <w:rPr>
                <w:noProof/>
                <w:webHidden/>
              </w:rPr>
              <w:instrText xml:space="preserve"> PAGEREF _Toc362444385 \h </w:instrText>
            </w:r>
            <w:r>
              <w:rPr>
                <w:noProof/>
                <w:webHidden/>
              </w:rPr>
            </w:r>
            <w:r>
              <w:rPr>
                <w:noProof/>
                <w:webHidden/>
              </w:rPr>
              <w:fldChar w:fldCharType="separate"/>
            </w:r>
            <w:r w:rsidR="00EB4551">
              <w:rPr>
                <w:noProof/>
                <w:webHidden/>
              </w:rPr>
              <w:t>3</w:t>
            </w:r>
            <w:r>
              <w:rPr>
                <w:noProof/>
                <w:webHidden/>
              </w:rPr>
              <w:fldChar w:fldCharType="end"/>
            </w:r>
          </w:hyperlink>
        </w:p>
        <w:p w:rsidR="003A2458" w:rsidRDefault="00B35FDF">
          <w:pPr>
            <w:pStyle w:val="TM1"/>
            <w:rPr>
              <w:rFonts w:eastAsiaTheme="minorEastAsia" w:cstheme="minorBidi"/>
              <w:b w:val="0"/>
              <w:lang w:eastAsia="fr-FR"/>
            </w:rPr>
          </w:pPr>
          <w:hyperlink w:anchor="_Toc362444386" w:history="1">
            <w:r w:rsidR="003A2458" w:rsidRPr="00D11DBB">
              <w:rPr>
                <w:rStyle w:val="Lienhypertexte"/>
                <w:rFonts w:cs="Times New Roman"/>
              </w:rPr>
              <w:t>V. BASE MONETAIRE, MASSE MONETAIRE ET SES CONTREPARTIES</w:t>
            </w:r>
            <w:r w:rsidR="003A2458">
              <w:rPr>
                <w:webHidden/>
              </w:rPr>
              <w:tab/>
            </w:r>
            <w:r>
              <w:rPr>
                <w:webHidden/>
              </w:rPr>
              <w:fldChar w:fldCharType="begin"/>
            </w:r>
            <w:r w:rsidR="003A2458">
              <w:rPr>
                <w:webHidden/>
              </w:rPr>
              <w:instrText xml:space="preserve"> PAGEREF _Toc362444386 \h </w:instrText>
            </w:r>
            <w:r>
              <w:rPr>
                <w:webHidden/>
              </w:rPr>
            </w:r>
            <w:r>
              <w:rPr>
                <w:webHidden/>
              </w:rPr>
              <w:fldChar w:fldCharType="separate"/>
            </w:r>
            <w:r w:rsidR="00EB4551">
              <w:rPr>
                <w:webHidden/>
              </w:rPr>
              <w:t>3</w:t>
            </w:r>
            <w:r>
              <w:rPr>
                <w:webHidden/>
              </w:rPr>
              <w:fldChar w:fldCharType="end"/>
            </w:r>
          </w:hyperlink>
        </w:p>
        <w:p w:rsidR="003A2458" w:rsidRDefault="00B35FDF">
          <w:pPr>
            <w:pStyle w:val="TM2"/>
            <w:tabs>
              <w:tab w:val="right" w:leader="dot" w:pos="9062"/>
            </w:tabs>
            <w:rPr>
              <w:rFonts w:eastAsiaTheme="minorEastAsia"/>
              <w:noProof/>
              <w:lang w:eastAsia="fr-FR"/>
            </w:rPr>
          </w:pPr>
          <w:hyperlink w:anchor="_Toc362444387" w:history="1">
            <w:r w:rsidR="003A2458" w:rsidRPr="00D11DBB">
              <w:rPr>
                <w:rStyle w:val="Lienhypertexte"/>
                <w:rFonts w:cs="Times New Roman"/>
                <w:noProof/>
              </w:rPr>
              <w:t>Base monétaire</w:t>
            </w:r>
            <w:r w:rsidR="003A2458">
              <w:rPr>
                <w:noProof/>
                <w:webHidden/>
              </w:rPr>
              <w:tab/>
            </w:r>
            <w:r>
              <w:rPr>
                <w:noProof/>
                <w:webHidden/>
              </w:rPr>
              <w:fldChar w:fldCharType="begin"/>
            </w:r>
            <w:r w:rsidR="003A2458">
              <w:rPr>
                <w:noProof/>
                <w:webHidden/>
              </w:rPr>
              <w:instrText xml:space="preserve"> PAGEREF _Toc362444387 \h </w:instrText>
            </w:r>
            <w:r>
              <w:rPr>
                <w:noProof/>
                <w:webHidden/>
              </w:rPr>
            </w:r>
            <w:r>
              <w:rPr>
                <w:noProof/>
                <w:webHidden/>
              </w:rPr>
              <w:fldChar w:fldCharType="separate"/>
            </w:r>
            <w:r w:rsidR="00EB4551">
              <w:rPr>
                <w:noProof/>
                <w:webHidden/>
              </w:rPr>
              <w:t>3</w:t>
            </w:r>
            <w:r>
              <w:rPr>
                <w:noProof/>
                <w:webHidden/>
              </w:rPr>
              <w:fldChar w:fldCharType="end"/>
            </w:r>
          </w:hyperlink>
        </w:p>
        <w:p w:rsidR="003A2458" w:rsidRDefault="00B35FDF">
          <w:pPr>
            <w:pStyle w:val="TM2"/>
            <w:tabs>
              <w:tab w:val="right" w:leader="dot" w:pos="9062"/>
            </w:tabs>
            <w:rPr>
              <w:rFonts w:eastAsiaTheme="minorEastAsia"/>
              <w:noProof/>
              <w:lang w:eastAsia="fr-FR"/>
            </w:rPr>
          </w:pPr>
          <w:hyperlink w:anchor="_Toc362444388" w:history="1">
            <w:r w:rsidR="003A2458" w:rsidRPr="00D11DBB">
              <w:rPr>
                <w:rStyle w:val="Lienhypertexte"/>
                <w:rFonts w:cs="Times New Roman"/>
                <w:noProof/>
              </w:rPr>
              <w:t>Masse monétaire</w:t>
            </w:r>
            <w:r w:rsidR="003A2458">
              <w:rPr>
                <w:noProof/>
                <w:webHidden/>
              </w:rPr>
              <w:tab/>
            </w:r>
            <w:r>
              <w:rPr>
                <w:noProof/>
                <w:webHidden/>
              </w:rPr>
              <w:fldChar w:fldCharType="begin"/>
            </w:r>
            <w:r w:rsidR="003A2458">
              <w:rPr>
                <w:noProof/>
                <w:webHidden/>
              </w:rPr>
              <w:instrText xml:space="preserve"> PAGEREF _Toc362444388 \h </w:instrText>
            </w:r>
            <w:r>
              <w:rPr>
                <w:noProof/>
                <w:webHidden/>
              </w:rPr>
            </w:r>
            <w:r>
              <w:rPr>
                <w:noProof/>
                <w:webHidden/>
              </w:rPr>
              <w:fldChar w:fldCharType="separate"/>
            </w:r>
            <w:r w:rsidR="00EB4551">
              <w:rPr>
                <w:noProof/>
                <w:webHidden/>
              </w:rPr>
              <w:t>3</w:t>
            </w:r>
            <w:r>
              <w:rPr>
                <w:noProof/>
                <w:webHidden/>
              </w:rPr>
              <w:fldChar w:fldCharType="end"/>
            </w:r>
          </w:hyperlink>
        </w:p>
        <w:p w:rsidR="003A2458" w:rsidRDefault="00B35FDF">
          <w:pPr>
            <w:pStyle w:val="TM2"/>
            <w:tabs>
              <w:tab w:val="right" w:leader="dot" w:pos="9062"/>
            </w:tabs>
            <w:rPr>
              <w:rFonts w:eastAsiaTheme="minorEastAsia"/>
              <w:noProof/>
              <w:lang w:eastAsia="fr-FR"/>
            </w:rPr>
          </w:pPr>
          <w:hyperlink w:anchor="_Toc362444389" w:history="1">
            <w:r w:rsidR="003A2458" w:rsidRPr="00D11DBB">
              <w:rPr>
                <w:rStyle w:val="Lienhypertexte"/>
                <w:rFonts w:cs="Times New Roman"/>
                <w:noProof/>
              </w:rPr>
              <w:t>Contreparties</w:t>
            </w:r>
            <w:r w:rsidR="003A2458">
              <w:rPr>
                <w:noProof/>
                <w:webHidden/>
              </w:rPr>
              <w:tab/>
            </w:r>
            <w:r>
              <w:rPr>
                <w:noProof/>
                <w:webHidden/>
              </w:rPr>
              <w:fldChar w:fldCharType="begin"/>
            </w:r>
            <w:r w:rsidR="003A2458">
              <w:rPr>
                <w:noProof/>
                <w:webHidden/>
              </w:rPr>
              <w:instrText xml:space="preserve"> PAGEREF _Toc362444389 \h </w:instrText>
            </w:r>
            <w:r>
              <w:rPr>
                <w:noProof/>
                <w:webHidden/>
              </w:rPr>
            </w:r>
            <w:r>
              <w:rPr>
                <w:noProof/>
                <w:webHidden/>
              </w:rPr>
              <w:fldChar w:fldCharType="separate"/>
            </w:r>
            <w:r w:rsidR="00EB4551">
              <w:rPr>
                <w:noProof/>
                <w:webHidden/>
              </w:rPr>
              <w:t>4</w:t>
            </w:r>
            <w:r>
              <w:rPr>
                <w:noProof/>
                <w:webHidden/>
              </w:rPr>
              <w:fldChar w:fldCharType="end"/>
            </w:r>
          </w:hyperlink>
        </w:p>
        <w:p w:rsidR="003A2458" w:rsidRDefault="00B35FDF">
          <w:pPr>
            <w:pStyle w:val="TM1"/>
            <w:rPr>
              <w:rFonts w:eastAsiaTheme="minorEastAsia" w:cstheme="minorBidi"/>
              <w:b w:val="0"/>
              <w:lang w:eastAsia="fr-FR"/>
            </w:rPr>
          </w:pPr>
          <w:hyperlink w:anchor="_Toc362444390" w:history="1">
            <w:r w:rsidR="003A2458" w:rsidRPr="00D11DBB">
              <w:rPr>
                <w:rStyle w:val="Lienhypertexte"/>
                <w:lang w:val="fr-BE"/>
              </w:rPr>
              <w:t>VI. COMMERCE EXTERIEUR</w:t>
            </w:r>
            <w:r w:rsidR="003A2458">
              <w:rPr>
                <w:webHidden/>
              </w:rPr>
              <w:tab/>
            </w:r>
            <w:r>
              <w:rPr>
                <w:webHidden/>
              </w:rPr>
              <w:fldChar w:fldCharType="begin"/>
            </w:r>
            <w:r w:rsidR="003A2458">
              <w:rPr>
                <w:webHidden/>
              </w:rPr>
              <w:instrText xml:space="preserve"> PAGEREF _Toc362444390 \h </w:instrText>
            </w:r>
            <w:r>
              <w:rPr>
                <w:webHidden/>
              </w:rPr>
            </w:r>
            <w:r>
              <w:rPr>
                <w:webHidden/>
              </w:rPr>
              <w:fldChar w:fldCharType="separate"/>
            </w:r>
            <w:r w:rsidR="00EB4551">
              <w:rPr>
                <w:webHidden/>
              </w:rPr>
              <w:t>4</w:t>
            </w:r>
            <w:r>
              <w:rPr>
                <w:webHidden/>
              </w:rPr>
              <w:fldChar w:fldCharType="end"/>
            </w:r>
          </w:hyperlink>
        </w:p>
        <w:p w:rsidR="003A2458" w:rsidRDefault="00B35FDF">
          <w:pPr>
            <w:pStyle w:val="TM2"/>
            <w:tabs>
              <w:tab w:val="right" w:leader="dot" w:pos="9062"/>
            </w:tabs>
            <w:rPr>
              <w:rFonts w:eastAsiaTheme="minorEastAsia"/>
              <w:noProof/>
              <w:lang w:eastAsia="fr-FR"/>
            </w:rPr>
          </w:pPr>
          <w:hyperlink w:anchor="_Toc362444391" w:history="1">
            <w:r w:rsidR="003A2458" w:rsidRPr="00D11DBB">
              <w:rPr>
                <w:rStyle w:val="Lienhypertexte"/>
                <w:noProof/>
                <w:lang w:val="fr-BE"/>
              </w:rPr>
              <w:t>Exportations</w:t>
            </w:r>
            <w:r w:rsidR="003A2458">
              <w:rPr>
                <w:noProof/>
                <w:webHidden/>
              </w:rPr>
              <w:tab/>
            </w:r>
            <w:r>
              <w:rPr>
                <w:noProof/>
                <w:webHidden/>
              </w:rPr>
              <w:fldChar w:fldCharType="begin"/>
            </w:r>
            <w:r w:rsidR="003A2458">
              <w:rPr>
                <w:noProof/>
                <w:webHidden/>
              </w:rPr>
              <w:instrText xml:space="preserve"> PAGEREF _Toc362444391 \h </w:instrText>
            </w:r>
            <w:r>
              <w:rPr>
                <w:noProof/>
                <w:webHidden/>
              </w:rPr>
            </w:r>
            <w:r>
              <w:rPr>
                <w:noProof/>
                <w:webHidden/>
              </w:rPr>
              <w:fldChar w:fldCharType="separate"/>
            </w:r>
            <w:r w:rsidR="00EB4551">
              <w:rPr>
                <w:noProof/>
                <w:webHidden/>
              </w:rPr>
              <w:t>4</w:t>
            </w:r>
            <w:r>
              <w:rPr>
                <w:noProof/>
                <w:webHidden/>
              </w:rPr>
              <w:fldChar w:fldCharType="end"/>
            </w:r>
          </w:hyperlink>
        </w:p>
        <w:p w:rsidR="003A2458" w:rsidRDefault="00B35FDF">
          <w:pPr>
            <w:pStyle w:val="TM2"/>
            <w:tabs>
              <w:tab w:val="right" w:leader="dot" w:pos="9062"/>
            </w:tabs>
            <w:rPr>
              <w:rFonts w:eastAsiaTheme="minorEastAsia"/>
              <w:noProof/>
              <w:lang w:eastAsia="fr-FR"/>
            </w:rPr>
          </w:pPr>
          <w:hyperlink w:anchor="_Toc362444392" w:history="1">
            <w:r w:rsidR="003A2458" w:rsidRPr="00D11DBB">
              <w:rPr>
                <w:rStyle w:val="Lienhypertexte"/>
                <w:noProof/>
                <w:lang w:val="fr-BE"/>
              </w:rPr>
              <w:t>Importations</w:t>
            </w:r>
            <w:r w:rsidR="003A2458">
              <w:rPr>
                <w:noProof/>
                <w:webHidden/>
              </w:rPr>
              <w:tab/>
            </w:r>
            <w:r>
              <w:rPr>
                <w:noProof/>
                <w:webHidden/>
              </w:rPr>
              <w:fldChar w:fldCharType="begin"/>
            </w:r>
            <w:r w:rsidR="003A2458">
              <w:rPr>
                <w:noProof/>
                <w:webHidden/>
              </w:rPr>
              <w:instrText xml:space="preserve"> PAGEREF _Toc362444392 \h </w:instrText>
            </w:r>
            <w:r>
              <w:rPr>
                <w:noProof/>
                <w:webHidden/>
              </w:rPr>
            </w:r>
            <w:r>
              <w:rPr>
                <w:noProof/>
                <w:webHidden/>
              </w:rPr>
              <w:fldChar w:fldCharType="separate"/>
            </w:r>
            <w:r w:rsidR="00EB4551">
              <w:rPr>
                <w:noProof/>
                <w:webHidden/>
              </w:rPr>
              <w:t>4</w:t>
            </w:r>
            <w:r>
              <w:rPr>
                <w:noProof/>
                <w:webHidden/>
              </w:rPr>
              <w:fldChar w:fldCharType="end"/>
            </w:r>
          </w:hyperlink>
        </w:p>
        <w:p w:rsidR="003A2458" w:rsidRDefault="00B35FDF">
          <w:pPr>
            <w:pStyle w:val="TM1"/>
            <w:rPr>
              <w:rFonts w:eastAsiaTheme="minorEastAsia" w:cstheme="minorBidi"/>
              <w:b w:val="0"/>
              <w:lang w:eastAsia="fr-FR"/>
            </w:rPr>
          </w:pPr>
          <w:hyperlink w:anchor="_Toc362444393" w:history="1">
            <w:r w:rsidR="003A2458" w:rsidRPr="00D11DBB">
              <w:rPr>
                <w:rStyle w:val="Lienhypertexte"/>
              </w:rPr>
              <w:t>VII. TAUX DE CHANGE</w:t>
            </w:r>
            <w:r w:rsidR="003A2458">
              <w:rPr>
                <w:webHidden/>
              </w:rPr>
              <w:tab/>
            </w:r>
            <w:r>
              <w:rPr>
                <w:webHidden/>
              </w:rPr>
              <w:fldChar w:fldCharType="begin"/>
            </w:r>
            <w:r w:rsidR="003A2458">
              <w:rPr>
                <w:webHidden/>
              </w:rPr>
              <w:instrText xml:space="preserve"> PAGEREF _Toc362444393 \h </w:instrText>
            </w:r>
            <w:r>
              <w:rPr>
                <w:webHidden/>
              </w:rPr>
            </w:r>
            <w:r>
              <w:rPr>
                <w:webHidden/>
              </w:rPr>
              <w:fldChar w:fldCharType="separate"/>
            </w:r>
            <w:r w:rsidR="00EB4551">
              <w:rPr>
                <w:webHidden/>
              </w:rPr>
              <w:t>5</w:t>
            </w:r>
            <w:r>
              <w:rPr>
                <w:webHidden/>
              </w:rPr>
              <w:fldChar w:fldCharType="end"/>
            </w:r>
          </w:hyperlink>
        </w:p>
        <w:p w:rsidR="003A2458" w:rsidRDefault="00B35FDF">
          <w:pPr>
            <w:pStyle w:val="TM1"/>
            <w:rPr>
              <w:rFonts w:eastAsiaTheme="minorEastAsia" w:cstheme="minorBidi"/>
              <w:b w:val="0"/>
              <w:lang w:eastAsia="fr-FR"/>
            </w:rPr>
          </w:pPr>
          <w:hyperlink w:anchor="_Toc362444394" w:history="1">
            <w:r w:rsidR="003A2458" w:rsidRPr="00D11DBB">
              <w:rPr>
                <w:rStyle w:val="Lienhypertexte"/>
                <w:rFonts w:cs="Times New Roman"/>
              </w:rPr>
              <w:t>ANNEXE 1 : PRINCIPAUX INDICATEURS MENSUELS</w:t>
            </w:r>
            <w:r w:rsidR="003A2458">
              <w:rPr>
                <w:webHidden/>
              </w:rPr>
              <w:tab/>
            </w:r>
            <w:r>
              <w:rPr>
                <w:webHidden/>
              </w:rPr>
              <w:fldChar w:fldCharType="begin"/>
            </w:r>
            <w:r w:rsidR="003A2458">
              <w:rPr>
                <w:webHidden/>
              </w:rPr>
              <w:instrText xml:space="preserve"> PAGEREF _Toc362444394 \h </w:instrText>
            </w:r>
            <w:r>
              <w:rPr>
                <w:webHidden/>
              </w:rPr>
            </w:r>
            <w:r>
              <w:rPr>
                <w:webHidden/>
              </w:rPr>
              <w:fldChar w:fldCharType="separate"/>
            </w:r>
            <w:r w:rsidR="00EB4551">
              <w:rPr>
                <w:webHidden/>
              </w:rPr>
              <w:t>6</w:t>
            </w:r>
            <w:r>
              <w:rPr>
                <w:webHidden/>
              </w:rPr>
              <w:fldChar w:fldCharType="end"/>
            </w:r>
          </w:hyperlink>
        </w:p>
        <w:p w:rsidR="003A2458" w:rsidRDefault="00B35FDF">
          <w:pPr>
            <w:pStyle w:val="TM1"/>
            <w:rPr>
              <w:rFonts w:eastAsiaTheme="minorEastAsia" w:cstheme="minorBidi"/>
              <w:b w:val="0"/>
              <w:lang w:eastAsia="fr-FR"/>
            </w:rPr>
          </w:pPr>
          <w:hyperlink w:anchor="_Toc362444395" w:history="1">
            <w:r w:rsidR="003A2458" w:rsidRPr="00D11DBB">
              <w:rPr>
                <w:rStyle w:val="Lienhypertexte"/>
                <w:rFonts w:cs="Times New Roman"/>
              </w:rPr>
              <w:t>ANNEXE 2 : PRINCIPAUX INDICATEURS ANNUELS</w:t>
            </w:r>
            <w:r w:rsidR="003A2458">
              <w:rPr>
                <w:webHidden/>
              </w:rPr>
              <w:tab/>
            </w:r>
            <w:r>
              <w:rPr>
                <w:webHidden/>
              </w:rPr>
              <w:fldChar w:fldCharType="begin"/>
            </w:r>
            <w:r w:rsidR="003A2458">
              <w:rPr>
                <w:webHidden/>
              </w:rPr>
              <w:instrText xml:space="preserve"> PAGEREF _Toc362444395 \h </w:instrText>
            </w:r>
            <w:r>
              <w:rPr>
                <w:webHidden/>
              </w:rPr>
            </w:r>
            <w:r>
              <w:rPr>
                <w:webHidden/>
              </w:rPr>
              <w:fldChar w:fldCharType="separate"/>
            </w:r>
            <w:r w:rsidR="00EB4551">
              <w:rPr>
                <w:webHidden/>
              </w:rPr>
              <w:t>7</w:t>
            </w:r>
            <w:r>
              <w:rPr>
                <w:webHidden/>
              </w:rPr>
              <w:fldChar w:fldCharType="end"/>
            </w:r>
          </w:hyperlink>
        </w:p>
        <w:p w:rsidR="00E60ED1" w:rsidRPr="0031007E" w:rsidRDefault="00B35FDF" w:rsidP="0031007E">
          <w:pPr>
            <w:sectPr w:rsidR="00E60ED1" w:rsidRPr="0031007E" w:rsidSect="00AA0406">
              <w:headerReference w:type="default" r:id="rId10"/>
              <w:pgSz w:w="11906" w:h="16838"/>
              <w:pgMar w:top="1417" w:right="1417" w:bottom="1417" w:left="1417" w:header="708" w:footer="708" w:gutter="0"/>
              <w:cols w:space="708"/>
              <w:titlePg/>
              <w:docGrid w:linePitch="360"/>
            </w:sectPr>
          </w:pPr>
          <w:r>
            <w:fldChar w:fldCharType="end"/>
          </w:r>
        </w:p>
      </w:sdtContent>
    </w:sdt>
    <w:p w:rsidR="00442051" w:rsidRPr="008F34F5" w:rsidRDefault="00442051" w:rsidP="008F34F5">
      <w:pPr>
        <w:pStyle w:val="Titre1"/>
        <w:spacing w:after="120"/>
        <w:rPr>
          <w:rFonts w:ascii="Calibri" w:eastAsia="Times New Roman" w:hAnsi="Calibri" w:cs="Arial"/>
          <w:bCs w:val="0"/>
          <w:color w:val="0070C0"/>
          <w:sz w:val="24"/>
          <w:szCs w:val="24"/>
        </w:rPr>
      </w:pPr>
      <w:bookmarkStart w:id="1" w:name="_Toc362356413"/>
      <w:bookmarkStart w:id="2" w:name="_Toc362356467"/>
      <w:bookmarkStart w:id="3" w:name="_Toc362444374"/>
      <w:r w:rsidRPr="008F34F5">
        <w:rPr>
          <w:rFonts w:ascii="Calibri" w:eastAsia="Times New Roman" w:hAnsi="Calibri" w:cs="Arial"/>
          <w:bCs w:val="0"/>
          <w:color w:val="0070C0"/>
          <w:sz w:val="24"/>
          <w:szCs w:val="24"/>
        </w:rPr>
        <w:lastRenderedPageBreak/>
        <w:t>I. INTRODUCTION</w:t>
      </w:r>
      <w:bookmarkEnd w:id="1"/>
      <w:bookmarkEnd w:id="2"/>
      <w:bookmarkEnd w:id="3"/>
    </w:p>
    <w:p w:rsidR="003A2458" w:rsidRDefault="00442051" w:rsidP="003A2458">
      <w:pPr>
        <w:widowControl w:val="0"/>
        <w:autoSpaceDE w:val="0"/>
        <w:autoSpaceDN w:val="0"/>
        <w:adjustRightInd w:val="0"/>
        <w:spacing w:after="240"/>
        <w:jc w:val="both"/>
        <w:rPr>
          <w:rFonts w:ascii="Calibri" w:eastAsia="Calibri" w:hAnsi="Calibri" w:cs="Calibri"/>
          <w:sz w:val="24"/>
          <w:szCs w:val="24"/>
        </w:rPr>
      </w:pPr>
      <w:r w:rsidRPr="00442051">
        <w:rPr>
          <w:rFonts w:ascii="Calibri" w:eastAsia="Calibri" w:hAnsi="Calibri" w:cs="Calibri"/>
          <w:sz w:val="24"/>
          <w:szCs w:val="24"/>
        </w:rPr>
        <w:t xml:space="preserve">Le commentaire sur les principaux indicateurs </w:t>
      </w:r>
      <w:r w:rsidR="00D31EFD">
        <w:rPr>
          <w:rFonts w:ascii="Calibri" w:eastAsia="Calibri" w:hAnsi="Calibri" w:cs="Calibri"/>
          <w:sz w:val="24"/>
          <w:szCs w:val="24"/>
        </w:rPr>
        <w:t>macro</w:t>
      </w:r>
      <w:r w:rsidRPr="00442051">
        <w:rPr>
          <w:rFonts w:ascii="Calibri" w:eastAsia="Calibri" w:hAnsi="Calibri" w:cs="Calibri"/>
          <w:sz w:val="24"/>
          <w:szCs w:val="24"/>
        </w:rPr>
        <w:t>économiques porte sur l’évolution, à fin mai 2013, de la production industrielle, du café, du thé, de l’indice des prix à la consommation et la situation des finances publiques en ce qui concerne les recettes, les dépenses et la dette publique extérieure et intérieure. Il aborde aussi l’évolution de la masse monétaire et ses contreparties, les exportations, les importations et le taux de change.</w:t>
      </w:r>
      <w:bookmarkStart w:id="4" w:name="_Toc362356414"/>
      <w:bookmarkStart w:id="5" w:name="_Toc362444375"/>
    </w:p>
    <w:p w:rsidR="00442051" w:rsidRPr="0031007E" w:rsidRDefault="00442051" w:rsidP="003A2458">
      <w:pPr>
        <w:widowControl w:val="0"/>
        <w:autoSpaceDE w:val="0"/>
        <w:autoSpaceDN w:val="0"/>
        <w:adjustRightInd w:val="0"/>
        <w:spacing w:after="240"/>
        <w:jc w:val="both"/>
        <w:rPr>
          <w:rFonts w:ascii="Calibri" w:eastAsia="Calibri" w:hAnsi="Calibri" w:cs="Calibri"/>
          <w:b/>
          <w:color w:val="0070C0"/>
          <w:sz w:val="24"/>
          <w:szCs w:val="24"/>
        </w:rPr>
      </w:pPr>
      <w:r w:rsidRPr="0031007E">
        <w:rPr>
          <w:rFonts w:ascii="Calibri" w:eastAsia="Calibri" w:hAnsi="Calibri" w:cs="Calibri"/>
          <w:b/>
          <w:color w:val="0070C0"/>
          <w:sz w:val="24"/>
          <w:szCs w:val="24"/>
        </w:rPr>
        <w:t>II. PRODUCTION</w:t>
      </w:r>
      <w:bookmarkEnd w:id="4"/>
      <w:bookmarkEnd w:id="5"/>
    </w:p>
    <w:p w:rsidR="00442051" w:rsidRPr="00442051" w:rsidRDefault="00442051" w:rsidP="0031007E">
      <w:pPr>
        <w:pStyle w:val="Titre3"/>
        <w:spacing w:after="120"/>
        <w:rPr>
          <w:rFonts w:ascii="Calibri" w:eastAsia="Times New Roman" w:hAnsi="Calibri" w:cs="Calibri"/>
          <w:color w:val="4F81BD"/>
          <w:sz w:val="24"/>
          <w:szCs w:val="24"/>
        </w:rPr>
      </w:pPr>
      <w:bookmarkStart w:id="6" w:name="_Toc362356415"/>
      <w:bookmarkStart w:id="7" w:name="_Toc362444376"/>
      <w:r w:rsidRPr="008F34F5">
        <w:rPr>
          <w:rFonts w:ascii="Calibri" w:eastAsia="Times New Roman" w:hAnsi="Calibri" w:cs="Calibri"/>
          <w:color w:val="0070C0"/>
          <w:sz w:val="24"/>
          <w:szCs w:val="24"/>
        </w:rPr>
        <w:t>Indice de la production industrielle</w:t>
      </w:r>
      <w:bookmarkEnd w:id="6"/>
      <w:bookmarkEnd w:id="7"/>
    </w:p>
    <w:p w:rsidR="00442051" w:rsidRPr="00442051" w:rsidRDefault="00442051" w:rsidP="008F34F5">
      <w:pPr>
        <w:spacing w:after="120"/>
        <w:jc w:val="both"/>
        <w:rPr>
          <w:rFonts w:ascii="Calibri" w:eastAsia="Calibri" w:hAnsi="Calibri" w:cs="Times New Roman"/>
          <w:sz w:val="24"/>
          <w:szCs w:val="24"/>
        </w:rPr>
      </w:pPr>
      <w:r w:rsidRPr="00442051">
        <w:rPr>
          <w:rFonts w:ascii="Calibri" w:eastAsia="Calibri" w:hAnsi="Calibri" w:cs="Times New Roman"/>
          <w:sz w:val="24"/>
          <w:szCs w:val="24"/>
        </w:rPr>
        <w:t>D’un mois à l’autre, la production industrielle</w:t>
      </w:r>
      <w:r w:rsidR="00D31EFD">
        <w:rPr>
          <w:rFonts w:ascii="Calibri" w:eastAsia="Calibri" w:hAnsi="Calibri" w:cs="Times New Roman"/>
          <w:sz w:val="24"/>
          <w:szCs w:val="24"/>
        </w:rPr>
        <w:t xml:space="preserve"> </w:t>
      </w:r>
      <w:r w:rsidRPr="00442051">
        <w:rPr>
          <w:rFonts w:ascii="Calibri" w:eastAsia="Calibri" w:hAnsi="Calibri" w:cs="Times New Roman"/>
          <w:sz w:val="24"/>
          <w:szCs w:val="24"/>
        </w:rPr>
        <w:t xml:space="preserve">s’est accru de 23,9 p.c. passant de 93,1 à 115,3, en raison essentiellement de l’augmentation de la production des boissons de la BRARUDI (16,3 p.c.), de la fabrication de cigarettes (57,4 p.c.) et du début de la campagne de production de sucre de </w:t>
      </w:r>
      <w:r w:rsidR="0031007E">
        <w:rPr>
          <w:rFonts w:ascii="Calibri" w:eastAsia="Calibri" w:hAnsi="Calibri" w:cs="Times New Roman"/>
          <w:sz w:val="24"/>
          <w:szCs w:val="24"/>
        </w:rPr>
        <w:t xml:space="preserve">la </w:t>
      </w:r>
      <w:r w:rsidRPr="00442051">
        <w:rPr>
          <w:rFonts w:ascii="Calibri" w:eastAsia="Calibri" w:hAnsi="Calibri" w:cs="Times New Roman"/>
          <w:sz w:val="24"/>
          <w:szCs w:val="24"/>
        </w:rPr>
        <w:t>SOSUMO.</w:t>
      </w:r>
    </w:p>
    <w:p w:rsidR="00442051" w:rsidRPr="00442051" w:rsidRDefault="00442051" w:rsidP="008F34F5">
      <w:pPr>
        <w:widowControl w:val="0"/>
        <w:autoSpaceDE w:val="0"/>
        <w:autoSpaceDN w:val="0"/>
        <w:adjustRightInd w:val="0"/>
        <w:spacing w:after="120"/>
        <w:jc w:val="both"/>
        <w:rPr>
          <w:rFonts w:ascii="Calibri" w:eastAsia="Calibri" w:hAnsi="Calibri" w:cs="Calibri"/>
          <w:sz w:val="24"/>
          <w:szCs w:val="24"/>
        </w:rPr>
      </w:pPr>
      <w:r w:rsidRPr="00442051">
        <w:rPr>
          <w:rFonts w:ascii="Calibri" w:eastAsia="Calibri" w:hAnsi="Calibri" w:cs="Times New Roman"/>
          <w:sz w:val="24"/>
          <w:szCs w:val="24"/>
        </w:rPr>
        <w:t xml:space="preserve">En glissement annuel, l’indice a progressé de 11,2 p.c. en liaison principalement avec l’augmentation de la production de boissons de </w:t>
      </w:r>
      <w:r w:rsidR="0031007E">
        <w:rPr>
          <w:rFonts w:ascii="Calibri" w:eastAsia="Calibri" w:hAnsi="Calibri" w:cs="Times New Roman"/>
          <w:sz w:val="24"/>
          <w:szCs w:val="24"/>
        </w:rPr>
        <w:t xml:space="preserve">la </w:t>
      </w:r>
      <w:r w:rsidRPr="00442051">
        <w:rPr>
          <w:rFonts w:ascii="Calibri" w:eastAsia="Calibri" w:hAnsi="Calibri" w:cs="Times New Roman"/>
          <w:sz w:val="24"/>
          <w:szCs w:val="24"/>
        </w:rPr>
        <w:t xml:space="preserve">BRARUDI (15,6 p.c.) et du démarrage précoce de la production de sucre de </w:t>
      </w:r>
      <w:r w:rsidR="0031007E">
        <w:rPr>
          <w:rFonts w:ascii="Calibri" w:eastAsia="Calibri" w:hAnsi="Calibri" w:cs="Times New Roman"/>
          <w:sz w:val="24"/>
          <w:szCs w:val="24"/>
        </w:rPr>
        <w:t xml:space="preserve">la </w:t>
      </w:r>
      <w:r w:rsidRPr="00442051">
        <w:rPr>
          <w:rFonts w:ascii="Calibri" w:eastAsia="Calibri" w:hAnsi="Calibri" w:cs="Times New Roman"/>
          <w:sz w:val="24"/>
          <w:szCs w:val="24"/>
        </w:rPr>
        <w:t>SOSUMO par rapport à l’année précédente.</w:t>
      </w:r>
    </w:p>
    <w:p w:rsidR="00442051" w:rsidRPr="008F34F5" w:rsidRDefault="00442051" w:rsidP="008F34F5">
      <w:pPr>
        <w:pStyle w:val="Titre3"/>
        <w:spacing w:after="120"/>
        <w:rPr>
          <w:rFonts w:ascii="Calibri" w:eastAsia="Times New Roman" w:hAnsi="Calibri" w:cs="Times New Roman"/>
          <w:color w:val="0070C0"/>
          <w:sz w:val="24"/>
          <w:szCs w:val="24"/>
        </w:rPr>
      </w:pPr>
      <w:bookmarkStart w:id="8" w:name="_Toc362356416"/>
      <w:bookmarkStart w:id="9" w:name="_Toc362444377"/>
      <w:r w:rsidRPr="008F34F5">
        <w:rPr>
          <w:rFonts w:ascii="Calibri" w:eastAsia="Times New Roman" w:hAnsi="Calibri" w:cs="Times New Roman"/>
          <w:color w:val="0070C0"/>
          <w:sz w:val="24"/>
          <w:szCs w:val="24"/>
        </w:rPr>
        <w:t>Café</w:t>
      </w:r>
      <w:bookmarkEnd w:id="8"/>
      <w:bookmarkEnd w:id="9"/>
    </w:p>
    <w:p w:rsidR="00442051" w:rsidRPr="00442051" w:rsidRDefault="00442051" w:rsidP="00442051">
      <w:pPr>
        <w:jc w:val="both"/>
        <w:rPr>
          <w:rFonts w:ascii="Calibri" w:eastAsia="Calibri" w:hAnsi="Calibri" w:cs="Calibri"/>
          <w:sz w:val="24"/>
          <w:szCs w:val="24"/>
        </w:rPr>
      </w:pPr>
      <w:r w:rsidRPr="00442051">
        <w:rPr>
          <w:rFonts w:ascii="Calibri" w:eastAsia="Calibri" w:hAnsi="Calibri" w:cs="Calibri"/>
          <w:sz w:val="24"/>
          <w:szCs w:val="24"/>
        </w:rPr>
        <w:t xml:space="preserve">Le mois de mai n’a pas enregistré d’apports de café en </w:t>
      </w:r>
      <w:proofErr w:type="spellStart"/>
      <w:r w:rsidRPr="00442051">
        <w:rPr>
          <w:rFonts w:ascii="Calibri" w:eastAsia="Calibri" w:hAnsi="Calibri" w:cs="Calibri"/>
          <w:sz w:val="24"/>
          <w:szCs w:val="24"/>
        </w:rPr>
        <w:t>parche</w:t>
      </w:r>
      <w:proofErr w:type="spellEnd"/>
      <w:r w:rsidRPr="00442051">
        <w:rPr>
          <w:rFonts w:ascii="Calibri" w:eastAsia="Calibri" w:hAnsi="Calibri" w:cs="Calibri"/>
          <w:sz w:val="24"/>
          <w:szCs w:val="24"/>
        </w:rPr>
        <w:t xml:space="preserve">  en raison de la fin  de la campagne 2012/2013 et du début tardif des apports de </w:t>
      </w:r>
      <w:proofErr w:type="spellStart"/>
      <w:r w:rsidRPr="00442051">
        <w:rPr>
          <w:rFonts w:ascii="Calibri" w:eastAsia="Calibri" w:hAnsi="Calibri" w:cs="Calibri"/>
          <w:sz w:val="24"/>
          <w:szCs w:val="24"/>
        </w:rPr>
        <w:t>parche</w:t>
      </w:r>
      <w:proofErr w:type="spellEnd"/>
      <w:r w:rsidRPr="00442051">
        <w:rPr>
          <w:rFonts w:ascii="Calibri" w:eastAsia="Calibri" w:hAnsi="Calibri" w:cs="Calibri"/>
          <w:sz w:val="24"/>
          <w:szCs w:val="24"/>
        </w:rPr>
        <w:t xml:space="preserve"> de la campagne 2013/2014. Cette campagne connaîtra une faible production suite au phénomène de cyclicité du caféier. En effet, les prévisions </w:t>
      </w:r>
      <w:r w:rsidRPr="00442051">
        <w:rPr>
          <w:rFonts w:ascii="Calibri" w:eastAsia="Calibri" w:hAnsi="Calibri" w:cs="Calibri"/>
          <w:sz w:val="24"/>
          <w:szCs w:val="24"/>
        </w:rPr>
        <w:lastRenderedPageBreak/>
        <w:t xml:space="preserve">de l’ARFIC pour </w:t>
      </w:r>
      <w:r w:rsidR="0031007E">
        <w:rPr>
          <w:rFonts w:ascii="Calibri" w:eastAsia="Calibri" w:hAnsi="Calibri" w:cs="Calibri"/>
          <w:sz w:val="24"/>
          <w:szCs w:val="24"/>
        </w:rPr>
        <w:t xml:space="preserve">cette </w:t>
      </w:r>
      <w:r w:rsidRPr="00442051">
        <w:rPr>
          <w:rFonts w:ascii="Calibri" w:eastAsia="Calibri" w:hAnsi="Calibri" w:cs="Calibri"/>
          <w:sz w:val="24"/>
          <w:szCs w:val="24"/>
        </w:rPr>
        <w:t xml:space="preserve">campagne s’élèvent  à 17.780 contre 30.778 T la campagne précédente, soit une baisse de </w:t>
      </w:r>
      <w:r w:rsidR="00D31EFD">
        <w:rPr>
          <w:rFonts w:ascii="Calibri" w:eastAsia="Calibri" w:hAnsi="Calibri" w:cs="Calibri"/>
          <w:sz w:val="24"/>
          <w:szCs w:val="24"/>
        </w:rPr>
        <w:t>42,2 p.c. correspondant à 12 T.</w:t>
      </w:r>
      <w:r w:rsidRPr="00442051">
        <w:rPr>
          <w:rFonts w:ascii="Calibri" w:eastAsia="Calibri" w:hAnsi="Calibri" w:cs="Calibri"/>
          <w:sz w:val="24"/>
          <w:szCs w:val="24"/>
        </w:rPr>
        <w:t xml:space="preserve"> </w:t>
      </w:r>
    </w:p>
    <w:p w:rsidR="00442051" w:rsidRPr="00702191" w:rsidRDefault="00442051" w:rsidP="00702191">
      <w:pPr>
        <w:pStyle w:val="Titre3"/>
        <w:spacing w:after="120"/>
        <w:rPr>
          <w:rFonts w:ascii="Calibri" w:eastAsia="Times New Roman" w:hAnsi="Calibri" w:cs="Times New Roman"/>
          <w:bCs w:val="0"/>
          <w:color w:val="0070C0"/>
          <w:sz w:val="24"/>
          <w:szCs w:val="24"/>
        </w:rPr>
      </w:pPr>
      <w:bookmarkStart w:id="10" w:name="_Toc362356417"/>
      <w:bookmarkStart w:id="11" w:name="_Toc362444378"/>
      <w:r w:rsidRPr="00702191">
        <w:rPr>
          <w:rFonts w:ascii="Calibri" w:eastAsia="Times New Roman" w:hAnsi="Calibri" w:cs="Times New Roman"/>
          <w:bCs w:val="0"/>
          <w:color w:val="0070C0"/>
          <w:sz w:val="24"/>
          <w:szCs w:val="24"/>
        </w:rPr>
        <w:t>Thé</w:t>
      </w:r>
      <w:bookmarkEnd w:id="10"/>
      <w:bookmarkEnd w:id="11"/>
    </w:p>
    <w:p w:rsidR="003A2458" w:rsidRDefault="00442051" w:rsidP="003A2458">
      <w:pPr>
        <w:spacing w:after="240"/>
        <w:jc w:val="both"/>
        <w:rPr>
          <w:rFonts w:ascii="Calibri" w:eastAsia="Calibri" w:hAnsi="Calibri" w:cs="Calibri"/>
          <w:sz w:val="24"/>
          <w:szCs w:val="24"/>
        </w:rPr>
      </w:pPr>
      <w:r w:rsidRPr="00442051">
        <w:rPr>
          <w:rFonts w:ascii="Calibri" w:eastAsia="Calibri" w:hAnsi="Calibri" w:cs="Calibri"/>
          <w:sz w:val="24"/>
          <w:szCs w:val="24"/>
        </w:rPr>
        <w:t xml:space="preserve">La production de thé en feuilles vertes du mois de mai 2013 a baissé de 7,6 p.c. par rapport au mois précédent, revenant de  4.749 à 4389 T.  En glissement annuel, la production cumulée a, par contre, progressé de 11,6 p.c., passant de  21.151 à 23.597 T d’une année à l’autre. </w:t>
      </w:r>
      <w:bookmarkStart w:id="12" w:name="_Toc362356418"/>
      <w:bookmarkStart w:id="13" w:name="_Toc362444379"/>
    </w:p>
    <w:p w:rsidR="0096134B" w:rsidRPr="003A2458" w:rsidRDefault="0031007E" w:rsidP="003A2458">
      <w:pPr>
        <w:spacing w:after="240"/>
        <w:jc w:val="both"/>
        <w:rPr>
          <w:b/>
          <w:color w:val="0070C0"/>
          <w:szCs w:val="24"/>
          <w:lang w:val="fr-BE"/>
        </w:rPr>
      </w:pPr>
      <w:r w:rsidRPr="003A2458">
        <w:rPr>
          <w:b/>
          <w:color w:val="0070C0"/>
          <w:szCs w:val="24"/>
          <w:lang w:val="fr-BE"/>
        </w:rPr>
        <w:t xml:space="preserve">III. </w:t>
      </w:r>
      <w:r w:rsidR="0096134B" w:rsidRPr="003A2458">
        <w:rPr>
          <w:b/>
          <w:color w:val="0070C0"/>
          <w:szCs w:val="24"/>
          <w:lang w:val="fr-BE"/>
        </w:rPr>
        <w:t xml:space="preserve">INDICE DES PRIX A LA </w:t>
      </w:r>
      <w:r w:rsidRPr="003A2458">
        <w:rPr>
          <w:b/>
          <w:color w:val="0070C0"/>
          <w:szCs w:val="24"/>
          <w:lang w:val="fr-BE"/>
        </w:rPr>
        <w:t>C</w:t>
      </w:r>
      <w:r w:rsidR="0096134B" w:rsidRPr="003A2458">
        <w:rPr>
          <w:b/>
          <w:color w:val="0070C0"/>
          <w:szCs w:val="24"/>
          <w:lang w:val="fr-BE"/>
        </w:rPr>
        <w:t>ONSOMMATION</w:t>
      </w:r>
      <w:bookmarkEnd w:id="12"/>
      <w:bookmarkEnd w:id="13"/>
    </w:p>
    <w:p w:rsidR="0096134B" w:rsidRPr="00442051" w:rsidRDefault="0096134B" w:rsidP="008F34F5">
      <w:pPr>
        <w:spacing w:after="120"/>
        <w:jc w:val="both"/>
        <w:rPr>
          <w:sz w:val="24"/>
          <w:szCs w:val="24"/>
          <w:lang w:val="fr-BE"/>
        </w:rPr>
      </w:pPr>
      <w:r w:rsidRPr="00442051">
        <w:rPr>
          <w:sz w:val="24"/>
          <w:szCs w:val="24"/>
          <w:lang w:val="fr-BE"/>
        </w:rPr>
        <w:t>L’indice général des prix à la consommation du mois de mai 2013 s’est fixé à 1.254,1 contre 1.158,8 au mois correspondant de l’année précédente, soit un taux d’inflation de 8,2 p.c.</w:t>
      </w:r>
    </w:p>
    <w:p w:rsidR="0096134B" w:rsidRPr="00442051" w:rsidRDefault="0096134B" w:rsidP="008F34F5">
      <w:pPr>
        <w:spacing w:after="120"/>
        <w:jc w:val="both"/>
        <w:rPr>
          <w:sz w:val="24"/>
          <w:szCs w:val="24"/>
          <w:lang w:val="fr-BE"/>
        </w:rPr>
      </w:pPr>
      <w:r w:rsidRPr="00442051">
        <w:rPr>
          <w:sz w:val="24"/>
          <w:szCs w:val="24"/>
          <w:lang w:val="fr-BE"/>
        </w:rPr>
        <w:t>Cet accroissement du niveau général des prix trouve son origine dans l’augmentation des prix des produits alimentaires (9,6 p.c.) et non alimentaires (6,6 p.c.).</w:t>
      </w:r>
    </w:p>
    <w:p w:rsidR="0096134B" w:rsidRPr="00442051" w:rsidRDefault="0096134B" w:rsidP="0096134B">
      <w:pPr>
        <w:jc w:val="both"/>
        <w:rPr>
          <w:sz w:val="24"/>
          <w:szCs w:val="24"/>
          <w:lang w:val="fr-BE"/>
        </w:rPr>
      </w:pPr>
      <w:r w:rsidRPr="00442051">
        <w:rPr>
          <w:sz w:val="24"/>
          <w:szCs w:val="24"/>
          <w:lang w:val="fr-BE"/>
        </w:rPr>
        <w:t xml:space="preserve">L’accroissement de l’inflation alimentaire a été principalement tiré par celui des prix de la farine de maïs (26,4 p.c.), du </w:t>
      </w:r>
      <w:proofErr w:type="spellStart"/>
      <w:r w:rsidRPr="00442051">
        <w:rPr>
          <w:sz w:val="24"/>
          <w:szCs w:val="24"/>
          <w:lang w:val="fr-BE"/>
        </w:rPr>
        <w:t>mukeke</w:t>
      </w:r>
      <w:proofErr w:type="spellEnd"/>
      <w:r w:rsidRPr="00442051">
        <w:rPr>
          <w:sz w:val="24"/>
          <w:szCs w:val="24"/>
          <w:lang w:val="fr-BE"/>
        </w:rPr>
        <w:t xml:space="preserve"> sec (70,4 p.c.), du </w:t>
      </w:r>
      <w:proofErr w:type="spellStart"/>
      <w:r w:rsidRPr="00442051">
        <w:rPr>
          <w:sz w:val="24"/>
          <w:szCs w:val="24"/>
          <w:lang w:val="fr-BE"/>
        </w:rPr>
        <w:t>ndagala</w:t>
      </w:r>
      <w:proofErr w:type="spellEnd"/>
      <w:r w:rsidRPr="00442051">
        <w:rPr>
          <w:sz w:val="24"/>
          <w:szCs w:val="24"/>
          <w:lang w:val="fr-BE"/>
        </w:rPr>
        <w:t xml:space="preserve"> sec (103,6 p.c.), du sucre cristallisé (30,1 p.c.), les produits de la </w:t>
      </w:r>
      <w:proofErr w:type="spellStart"/>
      <w:r w:rsidRPr="00442051">
        <w:rPr>
          <w:sz w:val="24"/>
          <w:szCs w:val="24"/>
          <w:lang w:val="fr-BE"/>
        </w:rPr>
        <w:t>Brarudi</w:t>
      </w:r>
      <w:proofErr w:type="spellEnd"/>
      <w:r w:rsidRPr="00442051">
        <w:rPr>
          <w:sz w:val="24"/>
          <w:szCs w:val="24"/>
          <w:lang w:val="fr-BE"/>
        </w:rPr>
        <w:t xml:space="preserve"> (17,9 p.c.)  et de la viande de bœuf (12,5 p.c.) qui a contrebalancé la baisse des prix du riz (-9,1 p.c.), de l’huile de palme (-2,6 p.c.), des pommes de terre (-11,0 p.c.) et de la farine de manioc (-2,7 p.c.). </w:t>
      </w:r>
    </w:p>
    <w:p w:rsidR="0096134B" w:rsidRPr="00442051" w:rsidRDefault="0096134B" w:rsidP="008F34F5">
      <w:pPr>
        <w:spacing w:after="120"/>
        <w:jc w:val="both"/>
        <w:rPr>
          <w:sz w:val="24"/>
          <w:szCs w:val="24"/>
          <w:lang w:val="fr-BE"/>
        </w:rPr>
      </w:pPr>
      <w:r w:rsidRPr="00442051">
        <w:rPr>
          <w:rFonts w:eastAsia="Calibri" w:cs="Times New Roman"/>
          <w:sz w:val="24"/>
          <w:szCs w:val="24"/>
          <w:lang w:val="fr-BE"/>
        </w:rPr>
        <w:t xml:space="preserve">L’évolution de l’indice « hors alimentation » est induite par l’accroissement des indices partiels des secteurs « Habillement » (10,1 p.c.), </w:t>
      </w:r>
      <w:r w:rsidRPr="00442051">
        <w:rPr>
          <w:rFonts w:eastAsia="Calibri" w:cs="Times New Roman"/>
          <w:sz w:val="24"/>
          <w:szCs w:val="24"/>
          <w:lang w:val="fr-BE"/>
        </w:rPr>
        <w:lastRenderedPageBreak/>
        <w:t>« Logement, chauffage et éclairage » (</w:t>
      </w:r>
      <w:r w:rsidRPr="00442051">
        <w:rPr>
          <w:sz w:val="24"/>
          <w:szCs w:val="24"/>
          <w:lang w:val="fr-BE"/>
        </w:rPr>
        <w:t>6</w:t>
      </w:r>
      <w:r w:rsidRPr="00442051">
        <w:rPr>
          <w:rFonts w:eastAsia="Calibri" w:cs="Times New Roman"/>
          <w:sz w:val="24"/>
          <w:szCs w:val="24"/>
          <w:lang w:val="fr-BE"/>
        </w:rPr>
        <w:t>,</w:t>
      </w:r>
      <w:r w:rsidRPr="00442051">
        <w:rPr>
          <w:sz w:val="24"/>
          <w:szCs w:val="24"/>
          <w:lang w:val="fr-BE"/>
        </w:rPr>
        <w:t>0</w:t>
      </w:r>
      <w:r w:rsidRPr="00442051">
        <w:rPr>
          <w:rFonts w:eastAsia="Calibri" w:cs="Times New Roman"/>
          <w:sz w:val="24"/>
          <w:szCs w:val="24"/>
          <w:lang w:val="fr-BE"/>
        </w:rPr>
        <w:t xml:space="preserve"> p.c.), « Articles des ménages et entretien ménager » (</w:t>
      </w:r>
      <w:r w:rsidRPr="00442051">
        <w:rPr>
          <w:sz w:val="24"/>
          <w:szCs w:val="24"/>
          <w:lang w:val="fr-BE"/>
        </w:rPr>
        <w:t>9,5</w:t>
      </w:r>
      <w:r w:rsidRPr="00442051">
        <w:rPr>
          <w:rFonts w:eastAsia="Calibri" w:cs="Times New Roman"/>
          <w:sz w:val="24"/>
          <w:szCs w:val="24"/>
          <w:lang w:val="fr-BE"/>
        </w:rPr>
        <w:t xml:space="preserve"> p.c.), « Services médicaux et médicaments » (</w:t>
      </w:r>
      <w:r w:rsidRPr="00442051">
        <w:rPr>
          <w:sz w:val="24"/>
          <w:szCs w:val="24"/>
          <w:lang w:val="fr-BE"/>
        </w:rPr>
        <w:t>4,4</w:t>
      </w:r>
      <w:r w:rsidRPr="00442051">
        <w:rPr>
          <w:rFonts w:eastAsia="Calibri" w:cs="Times New Roman"/>
          <w:sz w:val="24"/>
          <w:szCs w:val="24"/>
          <w:lang w:val="fr-BE"/>
        </w:rPr>
        <w:t xml:space="preserve"> p.c.), « Transport et télécommunications » (</w:t>
      </w:r>
      <w:r w:rsidRPr="00442051">
        <w:rPr>
          <w:sz w:val="24"/>
          <w:szCs w:val="24"/>
          <w:lang w:val="fr-BE"/>
        </w:rPr>
        <w:t>6,0</w:t>
      </w:r>
      <w:r w:rsidRPr="00442051">
        <w:rPr>
          <w:rFonts w:eastAsia="Calibri" w:cs="Times New Roman"/>
          <w:sz w:val="24"/>
          <w:szCs w:val="24"/>
          <w:lang w:val="fr-BE"/>
        </w:rPr>
        <w:t xml:space="preserve"> p.c.) et « Autres biens et services » (</w:t>
      </w:r>
      <w:r w:rsidRPr="00442051">
        <w:rPr>
          <w:sz w:val="24"/>
          <w:szCs w:val="24"/>
          <w:lang w:val="fr-BE"/>
        </w:rPr>
        <w:t>8,4</w:t>
      </w:r>
      <w:r w:rsidRPr="00442051">
        <w:rPr>
          <w:rFonts w:eastAsia="Calibri" w:cs="Times New Roman"/>
          <w:sz w:val="24"/>
          <w:szCs w:val="24"/>
          <w:lang w:val="fr-BE"/>
        </w:rPr>
        <w:t xml:space="preserve"> p.c.).</w:t>
      </w:r>
    </w:p>
    <w:p w:rsidR="0096134B" w:rsidRPr="00442051" w:rsidRDefault="0096134B" w:rsidP="0096134B">
      <w:pPr>
        <w:jc w:val="both"/>
        <w:rPr>
          <w:sz w:val="24"/>
          <w:szCs w:val="24"/>
        </w:rPr>
      </w:pPr>
      <w:r w:rsidRPr="00442051">
        <w:rPr>
          <w:rFonts w:eastAsia="Calibri" w:cs="Times New Roman"/>
          <w:sz w:val="24"/>
          <w:szCs w:val="24"/>
        </w:rPr>
        <w:t xml:space="preserve">En comparaison avec le mois précédent, le niveau général des prix s’est accru de </w:t>
      </w:r>
      <w:r w:rsidR="00F05BDB">
        <w:rPr>
          <w:rFonts w:eastAsia="Calibri" w:cs="Times New Roman"/>
          <w:sz w:val="24"/>
          <w:szCs w:val="24"/>
        </w:rPr>
        <w:t xml:space="preserve">    </w:t>
      </w:r>
      <w:r w:rsidRPr="00442051">
        <w:rPr>
          <w:sz w:val="24"/>
          <w:szCs w:val="24"/>
        </w:rPr>
        <w:t>4,8</w:t>
      </w:r>
      <w:r w:rsidRPr="00442051">
        <w:rPr>
          <w:rFonts w:eastAsia="Calibri" w:cs="Times New Roman"/>
          <w:sz w:val="24"/>
          <w:szCs w:val="24"/>
        </w:rPr>
        <w:t xml:space="preserve"> p.c. en rapport avec l’augmentation de 5,</w:t>
      </w:r>
      <w:r w:rsidRPr="00442051">
        <w:rPr>
          <w:sz w:val="24"/>
          <w:szCs w:val="24"/>
        </w:rPr>
        <w:t>9</w:t>
      </w:r>
      <w:r w:rsidRPr="00442051">
        <w:rPr>
          <w:rFonts w:eastAsia="Calibri" w:cs="Times New Roman"/>
          <w:sz w:val="24"/>
          <w:szCs w:val="24"/>
        </w:rPr>
        <w:t xml:space="preserve"> p.c. de l’indice « Alimentation » et de </w:t>
      </w:r>
      <w:r w:rsidRPr="00442051">
        <w:rPr>
          <w:sz w:val="24"/>
          <w:szCs w:val="24"/>
        </w:rPr>
        <w:t>3,5</w:t>
      </w:r>
      <w:r w:rsidRPr="00442051">
        <w:rPr>
          <w:rFonts w:eastAsia="Calibri" w:cs="Times New Roman"/>
          <w:sz w:val="24"/>
          <w:szCs w:val="24"/>
        </w:rPr>
        <w:t xml:space="preserve"> p.c. de l’indice « Hors alimentation ».</w:t>
      </w:r>
    </w:p>
    <w:bookmarkStart w:id="14" w:name="_MON_1435733475"/>
    <w:bookmarkEnd w:id="14"/>
    <w:p w:rsidR="00CD47BE" w:rsidRDefault="00D3466B" w:rsidP="00CD47BE">
      <w:pPr>
        <w:jc w:val="both"/>
        <w:rPr>
          <w:sz w:val="24"/>
          <w:szCs w:val="24"/>
        </w:rPr>
      </w:pPr>
      <w:r w:rsidRPr="00442051">
        <w:rPr>
          <w:sz w:val="24"/>
          <w:szCs w:val="24"/>
        </w:rPr>
        <w:object w:dxaOrig="10399" w:dyaOrig="3999">
          <v:shape id="_x0000_i1026" type="#_x0000_t75" style="width:214.8pt;height:200.4pt" o:ole="">
            <v:imagedata r:id="rId11" o:title=""/>
          </v:shape>
          <o:OLEObject Type="Embed" ProgID="Excel.Sheet.8" ShapeID="_x0000_i1026" DrawAspect="Content" ObjectID="_1436942103" r:id="rId12"/>
        </w:object>
      </w:r>
      <w:bookmarkStart w:id="15" w:name="_Toc362356419"/>
    </w:p>
    <w:p w:rsidR="00CD47BE" w:rsidRPr="000D12EB" w:rsidRDefault="00CD47BE" w:rsidP="005163BC">
      <w:pPr>
        <w:pStyle w:val="Titre1"/>
        <w:rPr>
          <w:rFonts w:asciiTheme="minorHAnsi" w:hAnsiTheme="minorHAnsi"/>
          <w:b w:val="0"/>
          <w:color w:val="0070C0"/>
          <w:sz w:val="24"/>
          <w:szCs w:val="24"/>
        </w:rPr>
      </w:pPr>
      <w:bookmarkStart w:id="16" w:name="_Toc362444380"/>
      <w:r w:rsidRPr="000D12EB">
        <w:rPr>
          <w:rFonts w:asciiTheme="minorHAnsi" w:hAnsiTheme="minorHAnsi"/>
          <w:color w:val="0070C0"/>
          <w:sz w:val="24"/>
          <w:szCs w:val="24"/>
        </w:rPr>
        <w:t>IV. FINANCES PUBLIQUES</w:t>
      </w:r>
      <w:bookmarkEnd w:id="16"/>
    </w:p>
    <w:p w:rsidR="00CD47BE" w:rsidRPr="000D12EB" w:rsidRDefault="00CD47BE" w:rsidP="000D12EB">
      <w:pPr>
        <w:pStyle w:val="Titre2"/>
        <w:spacing w:after="120"/>
        <w:rPr>
          <w:rFonts w:asciiTheme="minorHAnsi" w:hAnsiTheme="minorHAnsi"/>
          <w:b w:val="0"/>
          <w:color w:val="0070C0"/>
          <w:sz w:val="24"/>
          <w:szCs w:val="24"/>
        </w:rPr>
      </w:pPr>
      <w:bookmarkStart w:id="17" w:name="_Toc362444381"/>
      <w:r w:rsidRPr="000D12EB">
        <w:rPr>
          <w:rFonts w:asciiTheme="minorHAnsi" w:hAnsiTheme="minorHAnsi"/>
          <w:color w:val="0070C0"/>
          <w:sz w:val="24"/>
          <w:szCs w:val="24"/>
        </w:rPr>
        <w:t>Recettes</w:t>
      </w:r>
      <w:bookmarkEnd w:id="17"/>
      <w:r w:rsidRPr="000D12EB">
        <w:rPr>
          <w:rFonts w:asciiTheme="minorHAnsi" w:hAnsiTheme="minorHAnsi"/>
          <w:color w:val="0070C0"/>
          <w:sz w:val="24"/>
          <w:szCs w:val="24"/>
        </w:rPr>
        <w:t xml:space="preserve"> </w:t>
      </w:r>
    </w:p>
    <w:p w:rsidR="00CD47BE" w:rsidRPr="00D93819" w:rsidRDefault="00CD47BE" w:rsidP="00CD47BE">
      <w:pPr>
        <w:spacing w:after="120"/>
        <w:jc w:val="both"/>
        <w:rPr>
          <w:sz w:val="24"/>
          <w:szCs w:val="24"/>
        </w:rPr>
      </w:pPr>
      <w:r>
        <w:rPr>
          <w:sz w:val="24"/>
          <w:szCs w:val="24"/>
        </w:rPr>
        <w:t>A fin Mai 2013, l</w:t>
      </w:r>
      <w:r w:rsidRPr="002404D0">
        <w:rPr>
          <w:sz w:val="24"/>
          <w:szCs w:val="24"/>
        </w:rPr>
        <w:t xml:space="preserve">es recettes du budget consolidé de l’Etat </w:t>
      </w:r>
      <w:r>
        <w:rPr>
          <w:sz w:val="24"/>
          <w:szCs w:val="24"/>
        </w:rPr>
        <w:t>se sont fixées à 220.542</w:t>
      </w:r>
      <w:r w:rsidRPr="002404D0">
        <w:rPr>
          <w:sz w:val="24"/>
          <w:szCs w:val="24"/>
        </w:rPr>
        <w:t>,</w:t>
      </w:r>
      <w:r>
        <w:rPr>
          <w:sz w:val="24"/>
          <w:szCs w:val="24"/>
        </w:rPr>
        <w:t xml:space="preserve">1 </w:t>
      </w:r>
      <w:r w:rsidRPr="002404D0">
        <w:rPr>
          <w:sz w:val="24"/>
          <w:szCs w:val="24"/>
        </w:rPr>
        <w:t xml:space="preserve">contre </w:t>
      </w:r>
      <w:r>
        <w:rPr>
          <w:sz w:val="24"/>
          <w:szCs w:val="24"/>
        </w:rPr>
        <w:t xml:space="preserve">230.431,5 </w:t>
      </w:r>
      <w:r w:rsidRPr="002404D0">
        <w:rPr>
          <w:sz w:val="24"/>
          <w:szCs w:val="24"/>
        </w:rPr>
        <w:t xml:space="preserve">MBIF </w:t>
      </w:r>
      <w:r>
        <w:rPr>
          <w:sz w:val="24"/>
          <w:szCs w:val="24"/>
        </w:rPr>
        <w:t xml:space="preserve">à la période correspondante </w:t>
      </w:r>
      <w:r w:rsidRPr="002404D0">
        <w:rPr>
          <w:sz w:val="24"/>
          <w:szCs w:val="24"/>
        </w:rPr>
        <w:t xml:space="preserve">de l’année précédente, soit une </w:t>
      </w:r>
      <w:r>
        <w:rPr>
          <w:sz w:val="24"/>
          <w:szCs w:val="24"/>
        </w:rPr>
        <w:t>diminution</w:t>
      </w:r>
      <w:r w:rsidRPr="002404D0">
        <w:rPr>
          <w:sz w:val="24"/>
          <w:szCs w:val="24"/>
        </w:rPr>
        <w:t xml:space="preserve"> de </w:t>
      </w:r>
      <w:r>
        <w:rPr>
          <w:sz w:val="24"/>
          <w:szCs w:val="24"/>
        </w:rPr>
        <w:t>9</w:t>
      </w:r>
      <w:r w:rsidRPr="002404D0">
        <w:rPr>
          <w:sz w:val="24"/>
          <w:szCs w:val="24"/>
        </w:rPr>
        <w:t>.</w:t>
      </w:r>
      <w:r>
        <w:rPr>
          <w:sz w:val="24"/>
          <w:szCs w:val="24"/>
        </w:rPr>
        <w:t>889</w:t>
      </w:r>
      <w:r w:rsidRPr="002404D0">
        <w:rPr>
          <w:sz w:val="24"/>
          <w:szCs w:val="24"/>
        </w:rPr>
        <w:t>,</w:t>
      </w:r>
      <w:r>
        <w:rPr>
          <w:sz w:val="24"/>
          <w:szCs w:val="24"/>
        </w:rPr>
        <w:t xml:space="preserve">4 </w:t>
      </w:r>
      <w:r w:rsidRPr="002404D0">
        <w:rPr>
          <w:sz w:val="24"/>
          <w:szCs w:val="24"/>
        </w:rPr>
        <w:t xml:space="preserve">MBIF, ou </w:t>
      </w:r>
      <w:r>
        <w:rPr>
          <w:sz w:val="24"/>
          <w:szCs w:val="24"/>
        </w:rPr>
        <w:t>4,3</w:t>
      </w:r>
      <w:r w:rsidRPr="002404D0">
        <w:rPr>
          <w:sz w:val="24"/>
          <w:szCs w:val="24"/>
        </w:rPr>
        <w:t xml:space="preserve"> p.c. </w:t>
      </w:r>
      <w:r>
        <w:rPr>
          <w:sz w:val="24"/>
          <w:szCs w:val="24"/>
        </w:rPr>
        <w:t>en liaison avec la régression des</w:t>
      </w:r>
      <w:r w:rsidRPr="002404D0">
        <w:rPr>
          <w:sz w:val="24"/>
          <w:szCs w:val="24"/>
        </w:rPr>
        <w:t xml:space="preserve"> recettes fiscales (</w:t>
      </w:r>
      <w:r>
        <w:rPr>
          <w:sz w:val="24"/>
          <w:szCs w:val="24"/>
        </w:rPr>
        <w:t>-4.028</w:t>
      </w:r>
      <w:r w:rsidRPr="002404D0">
        <w:rPr>
          <w:sz w:val="24"/>
          <w:szCs w:val="24"/>
        </w:rPr>
        <w:t>,</w:t>
      </w:r>
      <w:r>
        <w:rPr>
          <w:sz w:val="24"/>
          <w:szCs w:val="24"/>
        </w:rPr>
        <w:t>3</w:t>
      </w:r>
      <w:r w:rsidRPr="002404D0">
        <w:rPr>
          <w:sz w:val="24"/>
          <w:szCs w:val="24"/>
        </w:rPr>
        <w:t xml:space="preserve"> MBIF)</w:t>
      </w:r>
      <w:r>
        <w:rPr>
          <w:sz w:val="24"/>
          <w:szCs w:val="24"/>
        </w:rPr>
        <w:t xml:space="preserve"> et exceptionnelles </w:t>
      </w:r>
      <w:r w:rsidRPr="002404D0">
        <w:rPr>
          <w:sz w:val="24"/>
          <w:szCs w:val="24"/>
        </w:rPr>
        <w:t>(</w:t>
      </w:r>
      <w:r>
        <w:rPr>
          <w:sz w:val="24"/>
          <w:szCs w:val="24"/>
        </w:rPr>
        <w:t>- 7.525,7</w:t>
      </w:r>
      <w:r w:rsidRPr="002404D0">
        <w:rPr>
          <w:sz w:val="24"/>
          <w:szCs w:val="24"/>
        </w:rPr>
        <w:t xml:space="preserve"> MBIF)</w:t>
      </w:r>
      <w:r>
        <w:rPr>
          <w:sz w:val="24"/>
          <w:szCs w:val="24"/>
        </w:rPr>
        <w:t xml:space="preserve">, partiellement atténuée par la hausse des recettes </w:t>
      </w:r>
      <w:r w:rsidRPr="002404D0">
        <w:rPr>
          <w:sz w:val="24"/>
          <w:szCs w:val="24"/>
        </w:rPr>
        <w:t>non fiscales</w:t>
      </w:r>
      <w:r>
        <w:rPr>
          <w:sz w:val="24"/>
          <w:szCs w:val="24"/>
        </w:rPr>
        <w:t xml:space="preserve"> (+ 1.664,5 MBIF)</w:t>
      </w:r>
      <w:r w:rsidRPr="002404D0">
        <w:rPr>
          <w:sz w:val="24"/>
          <w:szCs w:val="24"/>
        </w:rPr>
        <w:t>.</w:t>
      </w:r>
      <w:r>
        <w:rPr>
          <w:sz w:val="24"/>
          <w:szCs w:val="24"/>
        </w:rPr>
        <w:t xml:space="preserve"> </w:t>
      </w:r>
    </w:p>
    <w:p w:rsidR="00CD47BE" w:rsidRDefault="00CD47BE" w:rsidP="00CD47BE">
      <w:pPr>
        <w:spacing w:after="120"/>
        <w:jc w:val="both"/>
        <w:rPr>
          <w:sz w:val="24"/>
          <w:szCs w:val="24"/>
        </w:rPr>
      </w:pPr>
      <w:r>
        <w:rPr>
          <w:sz w:val="24"/>
          <w:szCs w:val="24"/>
        </w:rPr>
        <w:t>Par rapport au mois précédent</w:t>
      </w:r>
      <w:r w:rsidRPr="002404D0">
        <w:rPr>
          <w:sz w:val="24"/>
          <w:szCs w:val="24"/>
        </w:rPr>
        <w:t>, les recettes du mois d</w:t>
      </w:r>
      <w:r>
        <w:rPr>
          <w:sz w:val="24"/>
          <w:szCs w:val="24"/>
        </w:rPr>
        <w:t xml:space="preserve">e mai </w:t>
      </w:r>
      <w:r w:rsidRPr="002404D0">
        <w:rPr>
          <w:sz w:val="24"/>
          <w:szCs w:val="24"/>
        </w:rPr>
        <w:t>201</w:t>
      </w:r>
      <w:r>
        <w:rPr>
          <w:sz w:val="24"/>
          <w:szCs w:val="24"/>
        </w:rPr>
        <w:t>3</w:t>
      </w:r>
      <w:r w:rsidRPr="002404D0">
        <w:rPr>
          <w:sz w:val="24"/>
          <w:szCs w:val="24"/>
        </w:rPr>
        <w:t xml:space="preserve"> ont </w:t>
      </w:r>
      <w:r>
        <w:rPr>
          <w:sz w:val="24"/>
          <w:szCs w:val="24"/>
        </w:rPr>
        <w:t xml:space="preserve">régressé </w:t>
      </w:r>
      <w:r w:rsidRPr="002404D0">
        <w:rPr>
          <w:sz w:val="24"/>
          <w:szCs w:val="24"/>
        </w:rPr>
        <w:t xml:space="preserve">de </w:t>
      </w:r>
      <w:r>
        <w:rPr>
          <w:sz w:val="24"/>
          <w:szCs w:val="24"/>
        </w:rPr>
        <w:lastRenderedPageBreak/>
        <w:t>1.803,4</w:t>
      </w:r>
      <w:r w:rsidRPr="002404D0">
        <w:rPr>
          <w:sz w:val="24"/>
          <w:szCs w:val="24"/>
        </w:rPr>
        <w:t xml:space="preserve"> MBIF</w:t>
      </w:r>
      <w:r>
        <w:rPr>
          <w:sz w:val="24"/>
          <w:szCs w:val="24"/>
        </w:rPr>
        <w:t xml:space="preserve"> revenant</w:t>
      </w:r>
      <w:r w:rsidRPr="002404D0">
        <w:rPr>
          <w:sz w:val="24"/>
          <w:szCs w:val="24"/>
        </w:rPr>
        <w:t xml:space="preserve"> </w:t>
      </w:r>
      <w:r>
        <w:rPr>
          <w:sz w:val="24"/>
          <w:szCs w:val="24"/>
        </w:rPr>
        <w:t>de 39.125,5 à 37.322,1 MBIF suite principalement</w:t>
      </w:r>
      <w:r w:rsidRPr="00975BEA">
        <w:rPr>
          <w:sz w:val="24"/>
          <w:szCs w:val="24"/>
        </w:rPr>
        <w:t xml:space="preserve"> </w:t>
      </w:r>
      <w:r>
        <w:rPr>
          <w:sz w:val="24"/>
          <w:szCs w:val="24"/>
        </w:rPr>
        <w:t>à la baisse des recettes fiscales (-1.382,4 MBIF) et non fiscale (-536,2 MBIF) partiellement atténuée par la hausse des recettes exceptionnelles (+115,2 MBIF).</w:t>
      </w:r>
    </w:p>
    <w:p w:rsidR="00CD47BE" w:rsidRPr="000D12EB" w:rsidRDefault="00CD47BE" w:rsidP="000D12EB">
      <w:pPr>
        <w:pStyle w:val="Titre2"/>
        <w:spacing w:after="120"/>
        <w:rPr>
          <w:rFonts w:asciiTheme="minorHAnsi" w:hAnsiTheme="minorHAnsi"/>
          <w:b w:val="0"/>
          <w:color w:val="0070C0"/>
          <w:sz w:val="24"/>
          <w:szCs w:val="24"/>
        </w:rPr>
      </w:pPr>
      <w:bookmarkStart w:id="18" w:name="_Toc362444382"/>
      <w:r w:rsidRPr="000D12EB">
        <w:rPr>
          <w:rFonts w:asciiTheme="minorHAnsi" w:hAnsiTheme="minorHAnsi"/>
          <w:color w:val="0070C0"/>
          <w:sz w:val="24"/>
          <w:szCs w:val="24"/>
        </w:rPr>
        <w:t>Dépenses</w:t>
      </w:r>
      <w:bookmarkEnd w:id="18"/>
    </w:p>
    <w:p w:rsidR="00CD47BE" w:rsidRPr="00E3744A" w:rsidRDefault="00CD47BE" w:rsidP="00CD47BE">
      <w:pPr>
        <w:spacing w:after="120"/>
        <w:jc w:val="both"/>
        <w:rPr>
          <w:sz w:val="24"/>
          <w:szCs w:val="24"/>
        </w:rPr>
      </w:pPr>
      <w:r>
        <w:rPr>
          <w:sz w:val="24"/>
          <w:szCs w:val="24"/>
        </w:rPr>
        <w:t xml:space="preserve">Les dépenses de personnel cumulées s’élèvent </w:t>
      </w:r>
      <w:r w:rsidR="000D12EB">
        <w:rPr>
          <w:sz w:val="24"/>
          <w:szCs w:val="24"/>
        </w:rPr>
        <w:t xml:space="preserve">à </w:t>
      </w:r>
      <w:r>
        <w:rPr>
          <w:sz w:val="24"/>
          <w:szCs w:val="24"/>
        </w:rPr>
        <w:t>120</w:t>
      </w:r>
      <w:r w:rsidRPr="00E3744A">
        <w:rPr>
          <w:sz w:val="24"/>
          <w:szCs w:val="24"/>
        </w:rPr>
        <w:t>.</w:t>
      </w:r>
      <w:r>
        <w:rPr>
          <w:sz w:val="24"/>
          <w:szCs w:val="24"/>
        </w:rPr>
        <w:t>393</w:t>
      </w:r>
      <w:r w:rsidRPr="00E3744A">
        <w:rPr>
          <w:sz w:val="24"/>
          <w:szCs w:val="24"/>
        </w:rPr>
        <w:t>,</w:t>
      </w:r>
      <w:r>
        <w:rPr>
          <w:sz w:val="24"/>
          <w:szCs w:val="24"/>
        </w:rPr>
        <w:t>6 contre 111</w:t>
      </w:r>
      <w:r w:rsidRPr="00E3744A">
        <w:rPr>
          <w:sz w:val="24"/>
          <w:szCs w:val="24"/>
        </w:rPr>
        <w:t>.</w:t>
      </w:r>
      <w:r>
        <w:rPr>
          <w:sz w:val="24"/>
          <w:szCs w:val="24"/>
        </w:rPr>
        <w:t>685</w:t>
      </w:r>
      <w:r w:rsidRPr="00E3744A">
        <w:rPr>
          <w:sz w:val="24"/>
          <w:szCs w:val="24"/>
        </w:rPr>
        <w:t>,</w:t>
      </w:r>
      <w:r>
        <w:rPr>
          <w:sz w:val="24"/>
          <w:szCs w:val="24"/>
        </w:rPr>
        <w:t xml:space="preserve">9 </w:t>
      </w:r>
      <w:r w:rsidRPr="00E3744A">
        <w:rPr>
          <w:sz w:val="24"/>
          <w:szCs w:val="24"/>
        </w:rPr>
        <w:t>MBIF</w:t>
      </w:r>
      <w:r>
        <w:rPr>
          <w:sz w:val="24"/>
          <w:szCs w:val="24"/>
        </w:rPr>
        <w:t xml:space="preserve"> à la fin de la période correspondante de 2012</w:t>
      </w:r>
      <w:r w:rsidR="000D12EB">
        <w:rPr>
          <w:sz w:val="24"/>
          <w:szCs w:val="24"/>
        </w:rPr>
        <w:t>,</w:t>
      </w:r>
      <w:r>
        <w:rPr>
          <w:sz w:val="24"/>
          <w:szCs w:val="24"/>
        </w:rPr>
        <w:t xml:space="preserve"> soit une hausse de 8.707,6 MBIF</w:t>
      </w:r>
      <w:r w:rsidR="000D12EB">
        <w:rPr>
          <w:sz w:val="24"/>
          <w:szCs w:val="24"/>
        </w:rPr>
        <w:t>,</w:t>
      </w:r>
      <w:r>
        <w:rPr>
          <w:sz w:val="24"/>
          <w:szCs w:val="24"/>
        </w:rPr>
        <w:t xml:space="preserve"> en liaison avec l’augmentation des dépenses de personnel dans le budget de l’Etat de 2013.</w:t>
      </w:r>
      <w:r w:rsidRPr="00E3744A">
        <w:rPr>
          <w:sz w:val="24"/>
          <w:szCs w:val="24"/>
        </w:rPr>
        <w:t xml:space="preserve"> </w:t>
      </w:r>
    </w:p>
    <w:p w:rsidR="00CD47BE" w:rsidRPr="000D12EB" w:rsidRDefault="00CD47BE" w:rsidP="000D12EB">
      <w:pPr>
        <w:pStyle w:val="Titre2"/>
        <w:spacing w:after="120"/>
        <w:rPr>
          <w:rFonts w:asciiTheme="minorHAnsi" w:hAnsiTheme="minorHAnsi"/>
          <w:b w:val="0"/>
          <w:color w:val="0070C0"/>
          <w:sz w:val="24"/>
          <w:szCs w:val="24"/>
        </w:rPr>
      </w:pPr>
      <w:bookmarkStart w:id="19" w:name="_Toc362444383"/>
      <w:r w:rsidRPr="000D12EB">
        <w:rPr>
          <w:rFonts w:asciiTheme="minorHAnsi" w:hAnsiTheme="minorHAnsi"/>
          <w:color w:val="0070C0"/>
          <w:sz w:val="24"/>
          <w:szCs w:val="24"/>
        </w:rPr>
        <w:t>Dette publique</w:t>
      </w:r>
      <w:bookmarkEnd w:id="19"/>
    </w:p>
    <w:p w:rsidR="00CD47BE" w:rsidRPr="002404D0" w:rsidRDefault="00CD47BE" w:rsidP="00CD47BE">
      <w:pPr>
        <w:spacing w:after="120"/>
        <w:jc w:val="both"/>
        <w:rPr>
          <w:sz w:val="24"/>
          <w:szCs w:val="24"/>
        </w:rPr>
      </w:pPr>
      <w:r>
        <w:rPr>
          <w:sz w:val="24"/>
          <w:szCs w:val="24"/>
        </w:rPr>
        <w:t>L</w:t>
      </w:r>
      <w:r w:rsidRPr="002404D0">
        <w:rPr>
          <w:sz w:val="24"/>
          <w:szCs w:val="24"/>
        </w:rPr>
        <w:t xml:space="preserve">’encours de la dette publique a progressé de </w:t>
      </w:r>
      <w:r>
        <w:rPr>
          <w:sz w:val="24"/>
          <w:szCs w:val="24"/>
        </w:rPr>
        <w:t>192.707</w:t>
      </w:r>
      <w:r w:rsidRPr="002404D0">
        <w:rPr>
          <w:sz w:val="24"/>
          <w:szCs w:val="24"/>
        </w:rPr>
        <w:t>,</w:t>
      </w:r>
      <w:r>
        <w:rPr>
          <w:sz w:val="24"/>
          <w:szCs w:val="24"/>
        </w:rPr>
        <w:t>9</w:t>
      </w:r>
      <w:r w:rsidRPr="002404D0">
        <w:rPr>
          <w:sz w:val="24"/>
          <w:szCs w:val="24"/>
        </w:rPr>
        <w:t xml:space="preserve"> MBIF</w:t>
      </w:r>
      <w:r>
        <w:rPr>
          <w:sz w:val="24"/>
          <w:szCs w:val="24"/>
        </w:rPr>
        <w:t>,</w:t>
      </w:r>
      <w:r w:rsidRPr="002404D0">
        <w:rPr>
          <w:sz w:val="24"/>
          <w:szCs w:val="24"/>
        </w:rPr>
        <w:t xml:space="preserve"> soit </w:t>
      </w:r>
      <w:r>
        <w:rPr>
          <w:sz w:val="24"/>
          <w:szCs w:val="24"/>
        </w:rPr>
        <w:t>20</w:t>
      </w:r>
      <w:r w:rsidRPr="002404D0">
        <w:rPr>
          <w:sz w:val="24"/>
          <w:szCs w:val="24"/>
        </w:rPr>
        <w:t>,</w:t>
      </w:r>
      <w:r>
        <w:rPr>
          <w:sz w:val="24"/>
          <w:szCs w:val="24"/>
        </w:rPr>
        <w:t>0</w:t>
      </w:r>
      <w:r w:rsidRPr="002404D0">
        <w:rPr>
          <w:sz w:val="24"/>
          <w:szCs w:val="24"/>
        </w:rPr>
        <w:t xml:space="preserve"> p.c.</w:t>
      </w:r>
      <w:r>
        <w:rPr>
          <w:sz w:val="24"/>
          <w:szCs w:val="24"/>
        </w:rPr>
        <w:t>,</w:t>
      </w:r>
      <w:r w:rsidRPr="002404D0">
        <w:rPr>
          <w:sz w:val="24"/>
          <w:szCs w:val="24"/>
        </w:rPr>
        <w:t xml:space="preserve"> </w:t>
      </w:r>
      <w:r>
        <w:rPr>
          <w:sz w:val="24"/>
          <w:szCs w:val="24"/>
        </w:rPr>
        <w:t xml:space="preserve">atteignant </w:t>
      </w:r>
      <w:r w:rsidRPr="002404D0">
        <w:rPr>
          <w:sz w:val="24"/>
          <w:szCs w:val="24"/>
        </w:rPr>
        <w:t>1.</w:t>
      </w:r>
      <w:r>
        <w:rPr>
          <w:sz w:val="24"/>
          <w:szCs w:val="24"/>
        </w:rPr>
        <w:t>155</w:t>
      </w:r>
      <w:r w:rsidRPr="002404D0">
        <w:rPr>
          <w:sz w:val="24"/>
          <w:szCs w:val="24"/>
        </w:rPr>
        <w:t>.</w:t>
      </w:r>
      <w:r>
        <w:rPr>
          <w:sz w:val="24"/>
          <w:szCs w:val="24"/>
        </w:rPr>
        <w:t>836</w:t>
      </w:r>
      <w:r w:rsidRPr="002404D0">
        <w:rPr>
          <w:sz w:val="24"/>
          <w:szCs w:val="24"/>
        </w:rPr>
        <w:t>,</w:t>
      </w:r>
      <w:r>
        <w:rPr>
          <w:sz w:val="24"/>
          <w:szCs w:val="24"/>
        </w:rPr>
        <w:t xml:space="preserve">1 </w:t>
      </w:r>
      <w:r w:rsidRPr="002404D0">
        <w:rPr>
          <w:sz w:val="24"/>
          <w:szCs w:val="24"/>
        </w:rPr>
        <w:t xml:space="preserve">MBIF </w:t>
      </w:r>
      <w:r>
        <w:rPr>
          <w:sz w:val="24"/>
          <w:szCs w:val="24"/>
        </w:rPr>
        <w:t>à fin</w:t>
      </w:r>
      <w:r w:rsidRPr="002404D0">
        <w:rPr>
          <w:sz w:val="24"/>
          <w:szCs w:val="24"/>
        </w:rPr>
        <w:t xml:space="preserve"> </w:t>
      </w:r>
      <w:r>
        <w:rPr>
          <w:sz w:val="24"/>
          <w:szCs w:val="24"/>
        </w:rPr>
        <w:t>mai</w:t>
      </w:r>
      <w:r w:rsidRPr="002404D0">
        <w:rPr>
          <w:sz w:val="24"/>
          <w:szCs w:val="24"/>
        </w:rPr>
        <w:t xml:space="preserve"> 201</w:t>
      </w:r>
      <w:r>
        <w:rPr>
          <w:sz w:val="24"/>
          <w:szCs w:val="24"/>
        </w:rPr>
        <w:t>3</w:t>
      </w:r>
      <w:r w:rsidRPr="002404D0">
        <w:rPr>
          <w:sz w:val="24"/>
          <w:szCs w:val="24"/>
        </w:rPr>
        <w:t xml:space="preserve"> contre </w:t>
      </w:r>
      <w:r>
        <w:rPr>
          <w:sz w:val="24"/>
          <w:szCs w:val="24"/>
        </w:rPr>
        <w:t>963.128,2</w:t>
      </w:r>
      <w:r w:rsidRPr="002404D0">
        <w:rPr>
          <w:sz w:val="24"/>
          <w:szCs w:val="24"/>
        </w:rPr>
        <w:t xml:space="preserve"> MBIF</w:t>
      </w:r>
      <w:r>
        <w:rPr>
          <w:sz w:val="24"/>
          <w:szCs w:val="24"/>
        </w:rPr>
        <w:t xml:space="preserve"> à la même période de 2012. Cette hausse est liée à l’augmentation de la dette</w:t>
      </w:r>
      <w:r w:rsidRPr="002404D0">
        <w:rPr>
          <w:sz w:val="24"/>
          <w:szCs w:val="24"/>
        </w:rPr>
        <w:t xml:space="preserve"> </w:t>
      </w:r>
      <w:r>
        <w:rPr>
          <w:sz w:val="24"/>
          <w:szCs w:val="24"/>
        </w:rPr>
        <w:t>intérieure (+96.318</w:t>
      </w:r>
      <w:r w:rsidRPr="002404D0">
        <w:rPr>
          <w:sz w:val="24"/>
          <w:szCs w:val="24"/>
        </w:rPr>
        <w:t>,</w:t>
      </w:r>
      <w:r>
        <w:rPr>
          <w:sz w:val="24"/>
          <w:szCs w:val="24"/>
        </w:rPr>
        <w:t>9</w:t>
      </w:r>
      <w:r w:rsidRPr="009747D7">
        <w:rPr>
          <w:sz w:val="24"/>
          <w:szCs w:val="24"/>
        </w:rPr>
        <w:t xml:space="preserve"> </w:t>
      </w:r>
      <w:r w:rsidRPr="002404D0">
        <w:rPr>
          <w:sz w:val="24"/>
          <w:szCs w:val="24"/>
        </w:rPr>
        <w:t>MBIF</w:t>
      </w:r>
      <w:r>
        <w:rPr>
          <w:sz w:val="24"/>
          <w:szCs w:val="24"/>
        </w:rPr>
        <w:t xml:space="preserve">) </w:t>
      </w:r>
      <w:r w:rsidRPr="002404D0">
        <w:rPr>
          <w:sz w:val="24"/>
          <w:szCs w:val="24"/>
        </w:rPr>
        <w:t>et extérieure</w:t>
      </w:r>
      <w:r>
        <w:rPr>
          <w:sz w:val="24"/>
          <w:szCs w:val="24"/>
        </w:rPr>
        <w:t xml:space="preserve"> (+96.389,0 MBIF). </w:t>
      </w:r>
    </w:p>
    <w:p w:rsidR="00CD47BE" w:rsidRPr="002404D0" w:rsidRDefault="00CD47BE" w:rsidP="00CD47BE">
      <w:pPr>
        <w:spacing w:after="120"/>
        <w:jc w:val="both"/>
        <w:rPr>
          <w:sz w:val="24"/>
          <w:szCs w:val="24"/>
        </w:rPr>
      </w:pPr>
      <w:r w:rsidRPr="002404D0">
        <w:rPr>
          <w:sz w:val="24"/>
          <w:szCs w:val="24"/>
        </w:rPr>
        <w:t xml:space="preserve">Comparé à celui du mois précédent, l’encours de la dette publique a </w:t>
      </w:r>
      <w:r>
        <w:rPr>
          <w:sz w:val="24"/>
          <w:szCs w:val="24"/>
        </w:rPr>
        <w:t>augmenté</w:t>
      </w:r>
      <w:r w:rsidRPr="002404D0">
        <w:rPr>
          <w:sz w:val="24"/>
          <w:szCs w:val="24"/>
        </w:rPr>
        <w:t xml:space="preserve"> de </w:t>
      </w:r>
      <w:r>
        <w:rPr>
          <w:sz w:val="24"/>
          <w:szCs w:val="24"/>
        </w:rPr>
        <w:t xml:space="preserve">9.191,2 </w:t>
      </w:r>
      <w:r w:rsidRPr="002404D0">
        <w:rPr>
          <w:sz w:val="24"/>
          <w:szCs w:val="24"/>
        </w:rPr>
        <w:t>MBIF</w:t>
      </w:r>
      <w:r>
        <w:rPr>
          <w:sz w:val="24"/>
          <w:szCs w:val="24"/>
        </w:rPr>
        <w:t xml:space="preserve"> suite à la progression de la dette </w:t>
      </w:r>
      <w:r w:rsidRPr="002404D0">
        <w:rPr>
          <w:sz w:val="24"/>
          <w:szCs w:val="24"/>
        </w:rPr>
        <w:t xml:space="preserve">intérieure </w:t>
      </w:r>
      <w:r>
        <w:rPr>
          <w:sz w:val="24"/>
          <w:szCs w:val="24"/>
        </w:rPr>
        <w:t>(+17.228,4 MBIF)</w:t>
      </w:r>
      <w:r w:rsidRPr="002404D0">
        <w:rPr>
          <w:sz w:val="24"/>
          <w:szCs w:val="24"/>
        </w:rPr>
        <w:t xml:space="preserve"> </w:t>
      </w:r>
      <w:r>
        <w:rPr>
          <w:sz w:val="24"/>
          <w:szCs w:val="24"/>
        </w:rPr>
        <w:t xml:space="preserve">partiellement contrebalancée par la baisse de </w:t>
      </w:r>
      <w:r w:rsidRPr="002404D0">
        <w:rPr>
          <w:sz w:val="24"/>
          <w:szCs w:val="24"/>
        </w:rPr>
        <w:t xml:space="preserve">la dette extérieure </w:t>
      </w:r>
      <w:r>
        <w:rPr>
          <w:sz w:val="24"/>
          <w:szCs w:val="24"/>
        </w:rPr>
        <w:t>(-8.037,2</w:t>
      </w:r>
      <w:r w:rsidRPr="002404D0">
        <w:rPr>
          <w:sz w:val="24"/>
          <w:szCs w:val="24"/>
        </w:rPr>
        <w:t xml:space="preserve"> MBIF</w:t>
      </w:r>
      <w:r>
        <w:rPr>
          <w:sz w:val="24"/>
          <w:szCs w:val="24"/>
        </w:rPr>
        <w:t>)</w:t>
      </w:r>
      <w:r w:rsidRPr="002404D0">
        <w:rPr>
          <w:sz w:val="24"/>
          <w:szCs w:val="24"/>
        </w:rPr>
        <w:t xml:space="preserve">. </w:t>
      </w:r>
    </w:p>
    <w:p w:rsidR="00CD47BE" w:rsidRPr="000D12EB" w:rsidRDefault="00CD47BE" w:rsidP="000D12EB">
      <w:pPr>
        <w:pStyle w:val="Titre3"/>
        <w:spacing w:after="120"/>
        <w:rPr>
          <w:rFonts w:asciiTheme="minorHAnsi" w:hAnsiTheme="minorHAnsi"/>
          <w:b w:val="0"/>
          <w:color w:val="0070C0"/>
          <w:sz w:val="24"/>
          <w:szCs w:val="24"/>
        </w:rPr>
      </w:pPr>
      <w:bookmarkStart w:id="20" w:name="_Toc362444384"/>
      <w:r w:rsidRPr="000D12EB">
        <w:rPr>
          <w:rFonts w:asciiTheme="minorHAnsi" w:hAnsiTheme="minorHAnsi"/>
          <w:color w:val="0070C0"/>
          <w:sz w:val="24"/>
          <w:szCs w:val="24"/>
        </w:rPr>
        <w:t>- Dette intérieure</w:t>
      </w:r>
      <w:bookmarkEnd w:id="20"/>
    </w:p>
    <w:p w:rsidR="00CD47BE" w:rsidRDefault="00D31EFD" w:rsidP="00CD47BE">
      <w:pPr>
        <w:spacing w:after="120"/>
        <w:jc w:val="both"/>
        <w:rPr>
          <w:sz w:val="24"/>
          <w:szCs w:val="24"/>
        </w:rPr>
      </w:pPr>
      <w:r>
        <w:rPr>
          <w:sz w:val="24"/>
          <w:szCs w:val="24"/>
        </w:rPr>
        <w:t xml:space="preserve">A fin mai 2013, </w:t>
      </w:r>
      <w:r w:rsidR="00CD47BE" w:rsidRPr="002404D0">
        <w:rPr>
          <w:sz w:val="24"/>
          <w:szCs w:val="24"/>
        </w:rPr>
        <w:t>le stock de la dette</w:t>
      </w:r>
      <w:r w:rsidR="00CD47BE">
        <w:rPr>
          <w:sz w:val="24"/>
          <w:szCs w:val="24"/>
        </w:rPr>
        <w:t xml:space="preserve"> publique</w:t>
      </w:r>
      <w:r w:rsidR="00CD47BE" w:rsidRPr="002404D0">
        <w:rPr>
          <w:sz w:val="24"/>
          <w:szCs w:val="24"/>
        </w:rPr>
        <w:t xml:space="preserve"> intérieure </w:t>
      </w:r>
      <w:r w:rsidR="000D12EB">
        <w:rPr>
          <w:sz w:val="24"/>
          <w:szCs w:val="24"/>
        </w:rPr>
        <w:t xml:space="preserve">s’est accru </w:t>
      </w:r>
      <w:r w:rsidR="00CD47BE" w:rsidRPr="002404D0">
        <w:rPr>
          <w:sz w:val="24"/>
          <w:szCs w:val="24"/>
        </w:rPr>
        <w:t xml:space="preserve">de </w:t>
      </w:r>
      <w:r w:rsidR="00CD47BE">
        <w:rPr>
          <w:sz w:val="24"/>
          <w:szCs w:val="24"/>
        </w:rPr>
        <w:t xml:space="preserve"> 96</w:t>
      </w:r>
      <w:r w:rsidR="00CD47BE" w:rsidRPr="002404D0">
        <w:rPr>
          <w:sz w:val="24"/>
          <w:szCs w:val="24"/>
        </w:rPr>
        <w:t>.</w:t>
      </w:r>
      <w:r w:rsidR="00CD47BE">
        <w:rPr>
          <w:sz w:val="24"/>
          <w:szCs w:val="24"/>
        </w:rPr>
        <w:t xml:space="preserve">318,9 </w:t>
      </w:r>
      <w:r w:rsidR="00CD47BE" w:rsidRPr="002404D0">
        <w:rPr>
          <w:sz w:val="24"/>
          <w:szCs w:val="24"/>
        </w:rPr>
        <w:t>MBIF</w:t>
      </w:r>
      <w:r>
        <w:rPr>
          <w:sz w:val="24"/>
          <w:szCs w:val="24"/>
        </w:rPr>
        <w:t xml:space="preserve"> par rapport à celui de fin mai 2012</w:t>
      </w:r>
      <w:r w:rsidR="00CD47BE" w:rsidRPr="002404D0">
        <w:rPr>
          <w:sz w:val="24"/>
          <w:szCs w:val="24"/>
        </w:rPr>
        <w:t xml:space="preserve">,  passant de </w:t>
      </w:r>
      <w:r w:rsidR="00CD47BE">
        <w:rPr>
          <w:sz w:val="24"/>
          <w:szCs w:val="24"/>
        </w:rPr>
        <w:t>454</w:t>
      </w:r>
      <w:r w:rsidR="00CD47BE" w:rsidRPr="002404D0">
        <w:rPr>
          <w:sz w:val="24"/>
          <w:szCs w:val="24"/>
        </w:rPr>
        <w:t>.</w:t>
      </w:r>
      <w:r w:rsidR="00CD47BE">
        <w:rPr>
          <w:sz w:val="24"/>
          <w:szCs w:val="24"/>
        </w:rPr>
        <w:t>179</w:t>
      </w:r>
      <w:r w:rsidR="00CD47BE" w:rsidRPr="002404D0">
        <w:rPr>
          <w:sz w:val="24"/>
          <w:szCs w:val="24"/>
        </w:rPr>
        <w:t>,</w:t>
      </w:r>
      <w:r w:rsidR="00CD47BE">
        <w:rPr>
          <w:sz w:val="24"/>
          <w:szCs w:val="24"/>
        </w:rPr>
        <w:t>5</w:t>
      </w:r>
      <w:r w:rsidR="00CD47BE" w:rsidRPr="002404D0">
        <w:rPr>
          <w:sz w:val="24"/>
          <w:szCs w:val="24"/>
        </w:rPr>
        <w:t xml:space="preserve"> à </w:t>
      </w:r>
      <w:r w:rsidR="00CD47BE">
        <w:rPr>
          <w:sz w:val="24"/>
          <w:szCs w:val="24"/>
        </w:rPr>
        <w:t>550</w:t>
      </w:r>
      <w:r w:rsidR="00CD47BE" w:rsidRPr="002404D0">
        <w:rPr>
          <w:sz w:val="24"/>
          <w:szCs w:val="24"/>
        </w:rPr>
        <w:t>.</w:t>
      </w:r>
      <w:r w:rsidR="00CD47BE">
        <w:rPr>
          <w:sz w:val="24"/>
          <w:szCs w:val="24"/>
        </w:rPr>
        <w:t>498</w:t>
      </w:r>
      <w:r w:rsidR="00CD47BE" w:rsidRPr="002404D0">
        <w:rPr>
          <w:sz w:val="24"/>
          <w:szCs w:val="24"/>
        </w:rPr>
        <w:t>,</w:t>
      </w:r>
      <w:r w:rsidR="00CD47BE">
        <w:rPr>
          <w:sz w:val="24"/>
          <w:szCs w:val="24"/>
        </w:rPr>
        <w:t>4</w:t>
      </w:r>
      <w:r w:rsidR="00CD47BE" w:rsidRPr="002404D0">
        <w:rPr>
          <w:sz w:val="24"/>
          <w:szCs w:val="24"/>
        </w:rPr>
        <w:t xml:space="preserve"> MBIF</w:t>
      </w:r>
      <w:r w:rsidR="00CD47BE">
        <w:rPr>
          <w:sz w:val="24"/>
          <w:szCs w:val="24"/>
        </w:rPr>
        <w:t xml:space="preserve"> consécutivement à l’augmentation de l’endettement de l’</w:t>
      </w:r>
      <w:r w:rsidR="00CD47BE" w:rsidRPr="002404D0">
        <w:rPr>
          <w:sz w:val="24"/>
          <w:szCs w:val="24"/>
        </w:rPr>
        <w:t>Etat</w:t>
      </w:r>
      <w:r w:rsidR="00CD47BE">
        <w:rPr>
          <w:sz w:val="24"/>
          <w:szCs w:val="24"/>
        </w:rPr>
        <w:t xml:space="preserve"> vis-à-vis du secteur bancaire (+138.869,0)</w:t>
      </w:r>
      <w:r>
        <w:rPr>
          <w:sz w:val="24"/>
          <w:szCs w:val="24"/>
        </w:rPr>
        <w:t>,</w:t>
      </w:r>
      <w:r w:rsidR="00CD47BE">
        <w:rPr>
          <w:sz w:val="24"/>
          <w:szCs w:val="24"/>
        </w:rPr>
        <w:t xml:space="preserve"> atténuée par l</w:t>
      </w:r>
      <w:r w:rsidR="000D12EB">
        <w:rPr>
          <w:sz w:val="24"/>
          <w:szCs w:val="24"/>
        </w:rPr>
        <w:t xml:space="preserve">a </w:t>
      </w:r>
      <w:r w:rsidR="000D12EB">
        <w:rPr>
          <w:sz w:val="24"/>
          <w:szCs w:val="24"/>
        </w:rPr>
        <w:lastRenderedPageBreak/>
        <w:t xml:space="preserve">baisse de la dette </w:t>
      </w:r>
      <w:r w:rsidR="00CD47BE">
        <w:rPr>
          <w:sz w:val="24"/>
          <w:szCs w:val="24"/>
        </w:rPr>
        <w:t xml:space="preserve">de l’Etat envers le secteur </w:t>
      </w:r>
      <w:r w:rsidR="00CD47BE" w:rsidRPr="002404D0">
        <w:rPr>
          <w:sz w:val="24"/>
          <w:szCs w:val="24"/>
        </w:rPr>
        <w:t>non  bancaire (</w:t>
      </w:r>
      <w:r w:rsidR="00CD47BE">
        <w:rPr>
          <w:sz w:val="24"/>
          <w:szCs w:val="24"/>
        </w:rPr>
        <w:t>-42</w:t>
      </w:r>
      <w:r w:rsidR="00CD47BE" w:rsidRPr="002404D0">
        <w:rPr>
          <w:sz w:val="24"/>
          <w:szCs w:val="24"/>
        </w:rPr>
        <w:t>.</w:t>
      </w:r>
      <w:r w:rsidR="00CD47BE">
        <w:rPr>
          <w:sz w:val="24"/>
          <w:szCs w:val="24"/>
        </w:rPr>
        <w:t>550</w:t>
      </w:r>
      <w:r w:rsidR="00CD47BE" w:rsidRPr="002404D0">
        <w:rPr>
          <w:sz w:val="24"/>
          <w:szCs w:val="24"/>
        </w:rPr>
        <w:t>,</w:t>
      </w:r>
      <w:r w:rsidR="00CD47BE">
        <w:rPr>
          <w:sz w:val="24"/>
          <w:szCs w:val="24"/>
        </w:rPr>
        <w:t>1</w:t>
      </w:r>
      <w:r w:rsidR="00CD47BE" w:rsidRPr="002404D0">
        <w:rPr>
          <w:sz w:val="24"/>
          <w:szCs w:val="24"/>
        </w:rPr>
        <w:t xml:space="preserve"> MBIF). </w:t>
      </w:r>
    </w:p>
    <w:p w:rsidR="00CD47BE" w:rsidRDefault="00CD47BE" w:rsidP="00CD47BE">
      <w:pPr>
        <w:spacing w:after="120"/>
        <w:jc w:val="both"/>
        <w:rPr>
          <w:sz w:val="24"/>
          <w:szCs w:val="24"/>
        </w:rPr>
      </w:pPr>
      <w:r>
        <w:rPr>
          <w:sz w:val="24"/>
          <w:szCs w:val="24"/>
        </w:rPr>
        <w:t xml:space="preserve">Au niveau du secteur bancaire, la progression de l’endettement de l’Etat a résulté de la hausse des engagements de l’Etat envers la Banque Centrale (+134.430,1 MBIF) et les banques commerciales (+1.540,9 MBIF). </w:t>
      </w:r>
    </w:p>
    <w:p w:rsidR="00CD47BE" w:rsidRDefault="00CD47BE" w:rsidP="00CD47BE">
      <w:pPr>
        <w:spacing w:after="120"/>
        <w:jc w:val="both"/>
        <w:rPr>
          <w:sz w:val="24"/>
          <w:szCs w:val="24"/>
        </w:rPr>
      </w:pPr>
      <w:r>
        <w:rPr>
          <w:sz w:val="24"/>
          <w:szCs w:val="24"/>
        </w:rPr>
        <w:t>Du côté du secteur non bancaire, les engagements de l’Etat au</w:t>
      </w:r>
      <w:r w:rsidR="000D12EB">
        <w:rPr>
          <w:sz w:val="24"/>
          <w:szCs w:val="24"/>
        </w:rPr>
        <w:t xml:space="preserve"> </w:t>
      </w:r>
      <w:r>
        <w:rPr>
          <w:sz w:val="24"/>
          <w:szCs w:val="24"/>
        </w:rPr>
        <w:t xml:space="preserve"> titre des bons et obligations du trésor ont progressé de 13.926</w:t>
      </w:r>
      <w:r w:rsidR="00BD3700">
        <w:rPr>
          <w:sz w:val="24"/>
          <w:szCs w:val="24"/>
        </w:rPr>
        <w:t>,</w:t>
      </w:r>
      <w:r>
        <w:rPr>
          <w:sz w:val="24"/>
          <w:szCs w:val="24"/>
        </w:rPr>
        <w:t>3 MBIF</w:t>
      </w:r>
      <w:r w:rsidR="00D31EFD">
        <w:rPr>
          <w:sz w:val="24"/>
          <w:szCs w:val="24"/>
        </w:rPr>
        <w:t>,</w:t>
      </w:r>
      <w:r>
        <w:rPr>
          <w:sz w:val="24"/>
          <w:szCs w:val="24"/>
        </w:rPr>
        <w:t xml:space="preserve"> alors que </w:t>
      </w:r>
      <w:r w:rsidRPr="002404D0">
        <w:rPr>
          <w:sz w:val="24"/>
          <w:szCs w:val="24"/>
        </w:rPr>
        <w:t>les arriérés en dépense</w:t>
      </w:r>
      <w:r>
        <w:rPr>
          <w:sz w:val="24"/>
          <w:szCs w:val="24"/>
        </w:rPr>
        <w:t xml:space="preserve">  ont diminué de 55.969,6 MBIF. </w:t>
      </w:r>
    </w:p>
    <w:p w:rsidR="00CD47BE" w:rsidRDefault="00CD47BE" w:rsidP="00CD47BE">
      <w:pPr>
        <w:spacing w:after="120"/>
        <w:jc w:val="both"/>
        <w:rPr>
          <w:sz w:val="24"/>
          <w:szCs w:val="24"/>
        </w:rPr>
      </w:pPr>
      <w:r>
        <w:rPr>
          <w:sz w:val="24"/>
          <w:szCs w:val="24"/>
        </w:rPr>
        <w:t>En flux mensuels</w:t>
      </w:r>
      <w:r w:rsidRPr="002404D0">
        <w:rPr>
          <w:sz w:val="24"/>
          <w:szCs w:val="24"/>
        </w:rPr>
        <w:t>, le stock de l</w:t>
      </w:r>
      <w:r>
        <w:rPr>
          <w:sz w:val="24"/>
          <w:szCs w:val="24"/>
        </w:rPr>
        <w:t xml:space="preserve">a dette intérieure s’est accru de 17.228,4                            </w:t>
      </w:r>
      <w:r w:rsidRPr="002404D0">
        <w:rPr>
          <w:sz w:val="24"/>
          <w:szCs w:val="24"/>
        </w:rPr>
        <w:t xml:space="preserve"> MBIF, </w:t>
      </w:r>
      <w:r>
        <w:rPr>
          <w:sz w:val="24"/>
          <w:szCs w:val="24"/>
        </w:rPr>
        <w:t>passant</w:t>
      </w:r>
      <w:r w:rsidRPr="002404D0">
        <w:rPr>
          <w:sz w:val="24"/>
          <w:szCs w:val="24"/>
        </w:rPr>
        <w:t xml:space="preserve"> de </w:t>
      </w:r>
      <w:r>
        <w:rPr>
          <w:sz w:val="24"/>
          <w:szCs w:val="24"/>
        </w:rPr>
        <w:t xml:space="preserve">533.270,0 à 550.498,4 MBIF suite à l’endettement de l’Etat aussi bien vis-à-vis du secteur bancaire (+12.896,1 MBIF) et non bancaire               (+4.332,3 MBIF).  </w:t>
      </w:r>
      <w:r w:rsidR="0032516D">
        <w:rPr>
          <w:sz w:val="24"/>
          <w:szCs w:val="24"/>
        </w:rPr>
        <w:t xml:space="preserve">Au niveau du secteur bancaire, l’Etat s’est désendetté envers la Banque centrale </w:t>
      </w:r>
      <w:r w:rsidR="00C3059F">
        <w:rPr>
          <w:sz w:val="24"/>
          <w:szCs w:val="24"/>
        </w:rPr>
        <w:t xml:space="preserve">pour un montant de </w:t>
      </w:r>
      <w:r w:rsidR="0032516D">
        <w:rPr>
          <w:sz w:val="24"/>
          <w:szCs w:val="24"/>
        </w:rPr>
        <w:t>12.887,5 MBIF</w:t>
      </w:r>
      <w:r w:rsidR="00C3059F">
        <w:rPr>
          <w:sz w:val="24"/>
          <w:szCs w:val="24"/>
        </w:rPr>
        <w:t>,</w:t>
      </w:r>
      <w:r w:rsidR="0032516D">
        <w:rPr>
          <w:sz w:val="24"/>
          <w:szCs w:val="24"/>
        </w:rPr>
        <w:t xml:space="preserve"> au moment où son endettement envers les banques commerciales s’est élevé à 25.783,6 MBIF.</w:t>
      </w:r>
    </w:p>
    <w:p w:rsidR="00CD47BE" w:rsidRPr="000D12EB" w:rsidRDefault="00CD47BE" w:rsidP="000D12EB">
      <w:pPr>
        <w:pStyle w:val="Titre3"/>
        <w:spacing w:after="120"/>
        <w:rPr>
          <w:rFonts w:asciiTheme="minorHAnsi" w:hAnsiTheme="minorHAnsi"/>
          <w:b w:val="0"/>
          <w:color w:val="0070C0"/>
          <w:sz w:val="24"/>
          <w:szCs w:val="24"/>
        </w:rPr>
      </w:pPr>
      <w:bookmarkStart w:id="21" w:name="_Toc362444385"/>
      <w:r w:rsidRPr="000D12EB">
        <w:rPr>
          <w:rFonts w:asciiTheme="minorHAnsi" w:hAnsiTheme="minorHAnsi"/>
          <w:color w:val="0070C0"/>
          <w:sz w:val="24"/>
          <w:szCs w:val="24"/>
        </w:rPr>
        <w:t>- Dette extérieure</w:t>
      </w:r>
      <w:bookmarkEnd w:id="21"/>
    </w:p>
    <w:p w:rsidR="00CD47BE" w:rsidRPr="002404D0" w:rsidRDefault="00CD47BE" w:rsidP="00CD47BE">
      <w:pPr>
        <w:spacing w:after="120"/>
        <w:jc w:val="both"/>
        <w:rPr>
          <w:sz w:val="24"/>
          <w:szCs w:val="24"/>
        </w:rPr>
      </w:pPr>
      <w:r w:rsidRPr="002404D0">
        <w:rPr>
          <w:sz w:val="24"/>
          <w:szCs w:val="24"/>
        </w:rPr>
        <w:t xml:space="preserve">En glissement annuel, l’encours de la dette publique extérieure à fin </w:t>
      </w:r>
      <w:r>
        <w:rPr>
          <w:sz w:val="24"/>
          <w:szCs w:val="24"/>
        </w:rPr>
        <w:t>mai 20</w:t>
      </w:r>
      <w:r w:rsidRPr="002404D0">
        <w:rPr>
          <w:sz w:val="24"/>
          <w:szCs w:val="24"/>
        </w:rPr>
        <w:t>1</w:t>
      </w:r>
      <w:r>
        <w:rPr>
          <w:sz w:val="24"/>
          <w:szCs w:val="24"/>
        </w:rPr>
        <w:t>3</w:t>
      </w:r>
      <w:r w:rsidRPr="002404D0">
        <w:rPr>
          <w:sz w:val="24"/>
          <w:szCs w:val="24"/>
        </w:rPr>
        <w:t xml:space="preserve"> </w:t>
      </w:r>
      <w:r>
        <w:rPr>
          <w:sz w:val="24"/>
          <w:szCs w:val="24"/>
        </w:rPr>
        <w:t xml:space="preserve">s’est accru </w:t>
      </w:r>
      <w:r w:rsidRPr="002404D0">
        <w:rPr>
          <w:sz w:val="24"/>
          <w:szCs w:val="24"/>
        </w:rPr>
        <w:t xml:space="preserve">de </w:t>
      </w:r>
      <w:r>
        <w:rPr>
          <w:sz w:val="24"/>
          <w:szCs w:val="24"/>
        </w:rPr>
        <w:t>96</w:t>
      </w:r>
      <w:r w:rsidRPr="002404D0">
        <w:rPr>
          <w:sz w:val="24"/>
          <w:szCs w:val="24"/>
        </w:rPr>
        <w:t>.</w:t>
      </w:r>
      <w:r>
        <w:rPr>
          <w:sz w:val="24"/>
          <w:szCs w:val="24"/>
        </w:rPr>
        <w:t>389</w:t>
      </w:r>
      <w:r w:rsidRPr="002404D0">
        <w:rPr>
          <w:sz w:val="24"/>
          <w:szCs w:val="24"/>
        </w:rPr>
        <w:t>,</w:t>
      </w:r>
      <w:r>
        <w:rPr>
          <w:sz w:val="24"/>
          <w:szCs w:val="24"/>
        </w:rPr>
        <w:t xml:space="preserve">0 MBIF, passant de 508.948,7 à 605.337,7 </w:t>
      </w:r>
      <w:r w:rsidRPr="002404D0">
        <w:rPr>
          <w:sz w:val="24"/>
          <w:szCs w:val="24"/>
        </w:rPr>
        <w:t xml:space="preserve">MBIF. Cette </w:t>
      </w:r>
      <w:r>
        <w:rPr>
          <w:sz w:val="24"/>
          <w:szCs w:val="24"/>
        </w:rPr>
        <w:t>hausse</w:t>
      </w:r>
      <w:r w:rsidRPr="002404D0">
        <w:rPr>
          <w:sz w:val="24"/>
          <w:szCs w:val="24"/>
        </w:rPr>
        <w:t xml:space="preserve"> a résulté des nouveaux tirages </w:t>
      </w:r>
      <w:r>
        <w:rPr>
          <w:sz w:val="24"/>
          <w:szCs w:val="24"/>
        </w:rPr>
        <w:t>(59.719,8</w:t>
      </w:r>
      <w:r w:rsidRPr="002404D0">
        <w:rPr>
          <w:sz w:val="24"/>
          <w:szCs w:val="24"/>
        </w:rPr>
        <w:t xml:space="preserve"> MBIF</w:t>
      </w:r>
      <w:r>
        <w:rPr>
          <w:sz w:val="24"/>
          <w:szCs w:val="24"/>
        </w:rPr>
        <w:t>) et des plus-values de réévaluation (45.697,8</w:t>
      </w:r>
      <w:r w:rsidRPr="002404D0">
        <w:rPr>
          <w:sz w:val="24"/>
          <w:szCs w:val="24"/>
        </w:rPr>
        <w:t xml:space="preserve"> MBIF</w:t>
      </w:r>
      <w:r>
        <w:rPr>
          <w:sz w:val="24"/>
          <w:szCs w:val="24"/>
        </w:rPr>
        <w:t xml:space="preserve">), </w:t>
      </w:r>
      <w:r w:rsidRPr="002404D0">
        <w:rPr>
          <w:sz w:val="24"/>
          <w:szCs w:val="24"/>
        </w:rPr>
        <w:t>légèrement atténué</w:t>
      </w:r>
      <w:r>
        <w:rPr>
          <w:sz w:val="24"/>
          <w:szCs w:val="24"/>
        </w:rPr>
        <w:t>e</w:t>
      </w:r>
      <w:r w:rsidRPr="002404D0">
        <w:rPr>
          <w:sz w:val="24"/>
          <w:szCs w:val="24"/>
        </w:rPr>
        <w:t xml:space="preserve"> par </w:t>
      </w:r>
      <w:r>
        <w:rPr>
          <w:sz w:val="24"/>
          <w:szCs w:val="24"/>
        </w:rPr>
        <w:t>l’amortissement</w:t>
      </w:r>
      <w:r w:rsidRPr="002404D0">
        <w:rPr>
          <w:sz w:val="24"/>
          <w:szCs w:val="24"/>
        </w:rPr>
        <w:t xml:space="preserve"> </w:t>
      </w:r>
      <w:r w:rsidRPr="003F28B5">
        <w:rPr>
          <w:sz w:val="24"/>
          <w:szCs w:val="24"/>
        </w:rPr>
        <w:t xml:space="preserve">de </w:t>
      </w:r>
      <w:r>
        <w:rPr>
          <w:sz w:val="24"/>
          <w:szCs w:val="24"/>
        </w:rPr>
        <w:t xml:space="preserve">9.028,7 </w:t>
      </w:r>
      <w:r w:rsidRPr="003F28B5">
        <w:rPr>
          <w:sz w:val="24"/>
          <w:szCs w:val="24"/>
        </w:rPr>
        <w:t>MBIF</w:t>
      </w:r>
      <w:r w:rsidRPr="002404D0">
        <w:rPr>
          <w:sz w:val="24"/>
          <w:szCs w:val="24"/>
        </w:rPr>
        <w:t xml:space="preserve">.  </w:t>
      </w:r>
    </w:p>
    <w:p w:rsidR="00CD47BE" w:rsidRDefault="00CD47BE" w:rsidP="00CD47BE">
      <w:pPr>
        <w:spacing w:after="120"/>
        <w:jc w:val="both"/>
        <w:rPr>
          <w:sz w:val="24"/>
          <w:szCs w:val="24"/>
        </w:rPr>
      </w:pPr>
      <w:r>
        <w:rPr>
          <w:sz w:val="24"/>
          <w:szCs w:val="24"/>
        </w:rPr>
        <w:t xml:space="preserve">D’un mois à l’autre, l’encours de la dette publique extérieure </w:t>
      </w:r>
      <w:r w:rsidRPr="003F28B5">
        <w:rPr>
          <w:sz w:val="24"/>
          <w:szCs w:val="24"/>
        </w:rPr>
        <w:t xml:space="preserve">a </w:t>
      </w:r>
      <w:r>
        <w:rPr>
          <w:sz w:val="24"/>
          <w:szCs w:val="24"/>
        </w:rPr>
        <w:t>diminué</w:t>
      </w:r>
      <w:r w:rsidRPr="003F28B5">
        <w:rPr>
          <w:sz w:val="24"/>
          <w:szCs w:val="24"/>
        </w:rPr>
        <w:t xml:space="preserve"> de </w:t>
      </w:r>
      <w:r>
        <w:rPr>
          <w:sz w:val="24"/>
          <w:szCs w:val="24"/>
        </w:rPr>
        <w:t>8.037</w:t>
      </w:r>
      <w:r w:rsidRPr="003F28B5">
        <w:rPr>
          <w:sz w:val="24"/>
          <w:szCs w:val="24"/>
        </w:rPr>
        <w:t>,</w:t>
      </w:r>
      <w:r>
        <w:rPr>
          <w:sz w:val="24"/>
          <w:szCs w:val="24"/>
        </w:rPr>
        <w:t>2</w:t>
      </w:r>
      <w:r w:rsidRPr="003F28B5">
        <w:rPr>
          <w:sz w:val="24"/>
          <w:szCs w:val="24"/>
        </w:rPr>
        <w:t xml:space="preserve"> MBIF</w:t>
      </w:r>
      <w:r>
        <w:rPr>
          <w:sz w:val="24"/>
          <w:szCs w:val="24"/>
        </w:rPr>
        <w:t>,</w:t>
      </w:r>
      <w:r w:rsidRPr="003F28B5">
        <w:rPr>
          <w:sz w:val="24"/>
          <w:szCs w:val="24"/>
        </w:rPr>
        <w:t xml:space="preserve"> </w:t>
      </w:r>
      <w:r>
        <w:rPr>
          <w:sz w:val="24"/>
          <w:szCs w:val="24"/>
        </w:rPr>
        <w:t xml:space="preserve">revenant de 613.374,9 à 605.337,7 MBIF, suite aux moins-values de réévaluation  consécutives à l’appréciation </w:t>
      </w:r>
      <w:r>
        <w:rPr>
          <w:sz w:val="24"/>
          <w:szCs w:val="24"/>
        </w:rPr>
        <w:lastRenderedPageBreak/>
        <w:t>de la monnaie burundaise (-9.849,3 MBIF) qui ont contrebalancé les tirages (1.812,1 MBIF).</w:t>
      </w:r>
    </w:p>
    <w:p w:rsidR="00CD47BE" w:rsidRDefault="00CD47BE" w:rsidP="00CD47BE">
      <w:pPr>
        <w:spacing w:after="120"/>
        <w:jc w:val="both"/>
        <w:rPr>
          <w:sz w:val="24"/>
          <w:szCs w:val="24"/>
        </w:rPr>
      </w:pPr>
      <w:r>
        <w:rPr>
          <w:sz w:val="24"/>
          <w:szCs w:val="24"/>
        </w:rPr>
        <w:t>Les tirages de ma</w:t>
      </w:r>
      <w:r w:rsidR="000D12EB">
        <w:rPr>
          <w:sz w:val="24"/>
          <w:szCs w:val="24"/>
        </w:rPr>
        <w:t>i</w:t>
      </w:r>
      <w:r>
        <w:rPr>
          <w:sz w:val="24"/>
          <w:szCs w:val="24"/>
        </w:rPr>
        <w:t xml:space="preserve"> 2013 ont été orientés à la construction de la route NTAMBA-NDORA financée par l’OPEP et la BADEA à hauteur de 1.410,6 et 401,5 MBIF respectivement.   </w:t>
      </w:r>
    </w:p>
    <w:p w:rsidR="000D12EB" w:rsidRDefault="00CD47BE" w:rsidP="00140D69">
      <w:pPr>
        <w:spacing w:after="120"/>
        <w:jc w:val="both"/>
        <w:rPr>
          <w:sz w:val="24"/>
          <w:szCs w:val="24"/>
        </w:rPr>
      </w:pPr>
      <w:r w:rsidRPr="002404D0">
        <w:rPr>
          <w:sz w:val="24"/>
          <w:szCs w:val="24"/>
        </w:rPr>
        <w:t xml:space="preserve">Exprimé en dollars américains, le stock de la dette extérieure à fin </w:t>
      </w:r>
      <w:r>
        <w:rPr>
          <w:sz w:val="24"/>
          <w:szCs w:val="24"/>
        </w:rPr>
        <w:t>ma</w:t>
      </w:r>
      <w:r w:rsidR="000D12EB">
        <w:rPr>
          <w:sz w:val="24"/>
          <w:szCs w:val="24"/>
        </w:rPr>
        <w:t>i</w:t>
      </w:r>
      <w:r>
        <w:rPr>
          <w:sz w:val="24"/>
          <w:szCs w:val="24"/>
        </w:rPr>
        <w:t xml:space="preserve"> </w:t>
      </w:r>
      <w:r w:rsidRPr="002404D0">
        <w:rPr>
          <w:sz w:val="24"/>
          <w:szCs w:val="24"/>
        </w:rPr>
        <w:t>20</w:t>
      </w:r>
      <w:r>
        <w:rPr>
          <w:sz w:val="24"/>
          <w:szCs w:val="24"/>
        </w:rPr>
        <w:t>13</w:t>
      </w:r>
      <w:r w:rsidRPr="002404D0">
        <w:rPr>
          <w:sz w:val="24"/>
          <w:szCs w:val="24"/>
        </w:rPr>
        <w:t xml:space="preserve"> a </w:t>
      </w:r>
      <w:r>
        <w:rPr>
          <w:sz w:val="24"/>
          <w:szCs w:val="24"/>
        </w:rPr>
        <w:t>augmenté</w:t>
      </w:r>
      <w:r w:rsidRPr="002404D0">
        <w:rPr>
          <w:sz w:val="24"/>
          <w:szCs w:val="24"/>
        </w:rPr>
        <w:t xml:space="preserve"> de </w:t>
      </w:r>
      <w:r>
        <w:rPr>
          <w:sz w:val="24"/>
          <w:szCs w:val="24"/>
        </w:rPr>
        <w:t>26,6</w:t>
      </w:r>
      <w:r w:rsidRPr="002404D0">
        <w:rPr>
          <w:sz w:val="24"/>
          <w:szCs w:val="24"/>
        </w:rPr>
        <w:t xml:space="preserve"> MUSD, </w:t>
      </w:r>
      <w:r>
        <w:rPr>
          <w:sz w:val="24"/>
          <w:szCs w:val="24"/>
        </w:rPr>
        <w:t>se fixant à 391,3</w:t>
      </w:r>
      <w:r w:rsidRPr="002404D0">
        <w:rPr>
          <w:sz w:val="24"/>
          <w:szCs w:val="24"/>
        </w:rPr>
        <w:t xml:space="preserve">, </w:t>
      </w:r>
      <w:r>
        <w:rPr>
          <w:sz w:val="24"/>
          <w:szCs w:val="24"/>
        </w:rPr>
        <w:t>contre</w:t>
      </w:r>
      <w:r w:rsidRPr="002404D0">
        <w:rPr>
          <w:sz w:val="24"/>
          <w:szCs w:val="24"/>
        </w:rPr>
        <w:t xml:space="preserve"> </w:t>
      </w:r>
      <w:r>
        <w:rPr>
          <w:sz w:val="24"/>
          <w:szCs w:val="24"/>
        </w:rPr>
        <w:t>362</w:t>
      </w:r>
      <w:r w:rsidRPr="002404D0">
        <w:rPr>
          <w:sz w:val="24"/>
          <w:szCs w:val="24"/>
        </w:rPr>
        <w:t>,</w:t>
      </w:r>
      <w:r>
        <w:rPr>
          <w:sz w:val="24"/>
          <w:szCs w:val="24"/>
        </w:rPr>
        <w:t>8</w:t>
      </w:r>
      <w:r w:rsidRPr="002404D0">
        <w:rPr>
          <w:sz w:val="24"/>
          <w:szCs w:val="24"/>
        </w:rPr>
        <w:t xml:space="preserve"> MUSD à la période</w:t>
      </w:r>
      <w:r>
        <w:rPr>
          <w:sz w:val="24"/>
          <w:szCs w:val="24"/>
        </w:rPr>
        <w:t xml:space="preserve"> correspondante</w:t>
      </w:r>
      <w:r w:rsidRPr="002404D0">
        <w:rPr>
          <w:sz w:val="24"/>
          <w:szCs w:val="24"/>
        </w:rPr>
        <w:t xml:space="preserve"> de l’année précédente.</w:t>
      </w:r>
    </w:p>
    <w:p w:rsidR="00BF7FDB" w:rsidRPr="003A2458" w:rsidRDefault="00F12C3B" w:rsidP="003A2458">
      <w:pPr>
        <w:pStyle w:val="Titre1"/>
        <w:rPr>
          <w:rFonts w:asciiTheme="minorHAnsi" w:hAnsiTheme="minorHAnsi" w:cs="Times New Roman"/>
          <w:color w:val="0070C0"/>
          <w:sz w:val="24"/>
          <w:szCs w:val="24"/>
        </w:rPr>
      </w:pPr>
      <w:bookmarkStart w:id="22" w:name="_Toc362444386"/>
      <w:r w:rsidRPr="003A2458">
        <w:rPr>
          <w:rFonts w:asciiTheme="minorHAnsi" w:hAnsiTheme="minorHAnsi" w:cs="Times New Roman"/>
          <w:color w:val="0070C0"/>
          <w:sz w:val="24"/>
          <w:szCs w:val="24"/>
        </w:rPr>
        <w:t>V. BASE MONETAIRE, MASSE MONETAIRE ET SES CONTREPARTIES</w:t>
      </w:r>
      <w:bookmarkEnd w:id="15"/>
      <w:bookmarkEnd w:id="22"/>
    </w:p>
    <w:p w:rsidR="00F12C3B" w:rsidRPr="00D3466B" w:rsidRDefault="00F12C3B" w:rsidP="008F34F5">
      <w:pPr>
        <w:pStyle w:val="Titre2"/>
        <w:spacing w:after="120"/>
        <w:rPr>
          <w:rFonts w:asciiTheme="minorHAnsi" w:hAnsiTheme="minorHAnsi" w:cs="Times New Roman"/>
          <w:b w:val="0"/>
          <w:color w:val="0070C0"/>
          <w:sz w:val="24"/>
          <w:szCs w:val="24"/>
        </w:rPr>
      </w:pPr>
      <w:bookmarkStart w:id="23" w:name="_Toc362356420"/>
      <w:bookmarkStart w:id="24" w:name="_Toc362444387"/>
      <w:r w:rsidRPr="00D3466B">
        <w:rPr>
          <w:rFonts w:asciiTheme="minorHAnsi" w:hAnsiTheme="minorHAnsi" w:cs="Times New Roman"/>
          <w:color w:val="0070C0"/>
          <w:sz w:val="24"/>
          <w:szCs w:val="24"/>
        </w:rPr>
        <w:t>Base monétaire</w:t>
      </w:r>
      <w:bookmarkEnd w:id="23"/>
      <w:bookmarkEnd w:id="24"/>
    </w:p>
    <w:p w:rsidR="00F12C3B" w:rsidRPr="00442051" w:rsidRDefault="00F12C3B" w:rsidP="008F34F5">
      <w:pPr>
        <w:spacing w:after="120"/>
        <w:jc w:val="both"/>
        <w:rPr>
          <w:rFonts w:eastAsia="Times New Roman" w:cs="Times New Roman"/>
          <w:sz w:val="24"/>
          <w:szCs w:val="24"/>
          <w:lang w:eastAsia="fr-FR"/>
        </w:rPr>
      </w:pPr>
      <w:r w:rsidRPr="00442051">
        <w:rPr>
          <w:rFonts w:cs="Times New Roman"/>
          <w:sz w:val="24"/>
          <w:szCs w:val="24"/>
        </w:rPr>
        <w:t>En glissement sur douze mois, la base monétaire s’est</w:t>
      </w:r>
      <w:r w:rsidR="002E040D" w:rsidRPr="00442051">
        <w:rPr>
          <w:rFonts w:cs="Times New Roman"/>
          <w:sz w:val="24"/>
          <w:szCs w:val="24"/>
        </w:rPr>
        <w:t xml:space="preserve"> fortement</w:t>
      </w:r>
      <w:r w:rsidRPr="00442051">
        <w:rPr>
          <w:rFonts w:cs="Times New Roman"/>
          <w:sz w:val="24"/>
          <w:szCs w:val="24"/>
        </w:rPr>
        <w:t xml:space="preserve"> accrue de 52.798,9 MBIF, soit 25,8 p.c., passant de 204.769,7 à 257.568,6 MBIF</w:t>
      </w:r>
      <w:r w:rsidR="003E4AD4" w:rsidRPr="00442051">
        <w:rPr>
          <w:rFonts w:cs="Times New Roman"/>
          <w:sz w:val="24"/>
          <w:szCs w:val="24"/>
        </w:rPr>
        <w:t xml:space="preserve">. Cette augmentation a résulté de la hausse des dépôts du secteur </w:t>
      </w:r>
      <w:r w:rsidR="00440E2C" w:rsidRPr="00442051">
        <w:rPr>
          <w:rFonts w:cs="Times New Roman"/>
          <w:sz w:val="24"/>
          <w:szCs w:val="24"/>
        </w:rPr>
        <w:t xml:space="preserve"> bancaire</w:t>
      </w:r>
      <w:r w:rsidR="00AA1FB9" w:rsidRPr="00442051">
        <w:rPr>
          <w:rFonts w:cs="Times New Roman"/>
          <w:sz w:val="24"/>
          <w:szCs w:val="24"/>
        </w:rPr>
        <w:t xml:space="preserve"> (+19.196,5 MBIF), </w:t>
      </w:r>
      <w:r w:rsidR="00440E2C" w:rsidRPr="00442051">
        <w:rPr>
          <w:rFonts w:cs="Times New Roman"/>
          <w:sz w:val="24"/>
          <w:szCs w:val="24"/>
        </w:rPr>
        <w:t xml:space="preserve">du volume </w:t>
      </w:r>
      <w:r w:rsidR="00AA1FB9" w:rsidRPr="00442051">
        <w:rPr>
          <w:rFonts w:cs="Times New Roman"/>
          <w:sz w:val="24"/>
          <w:szCs w:val="24"/>
        </w:rPr>
        <w:t>des billets et pièces en circulation (+30.879,3 MBIF), des avoirs des sociétés à participation publique (</w:t>
      </w:r>
      <w:r w:rsidR="000D12EB">
        <w:rPr>
          <w:rFonts w:cs="Times New Roman"/>
          <w:sz w:val="24"/>
          <w:szCs w:val="24"/>
        </w:rPr>
        <w:t>+</w:t>
      </w:r>
      <w:r w:rsidR="00AA1FB9" w:rsidRPr="00442051">
        <w:rPr>
          <w:rFonts w:cs="Times New Roman"/>
          <w:sz w:val="24"/>
          <w:szCs w:val="24"/>
        </w:rPr>
        <w:t>1.009,3 MBIF), des établissements financiers (</w:t>
      </w:r>
      <w:r w:rsidR="002E040D" w:rsidRPr="00442051">
        <w:rPr>
          <w:rFonts w:cs="Times New Roman"/>
          <w:sz w:val="24"/>
          <w:szCs w:val="24"/>
        </w:rPr>
        <w:t>+</w:t>
      </w:r>
      <w:r w:rsidR="00AA1FB9" w:rsidRPr="00442051">
        <w:rPr>
          <w:rFonts w:cs="Times New Roman"/>
          <w:sz w:val="24"/>
          <w:szCs w:val="24"/>
        </w:rPr>
        <w:t>1.059,0 MBIF)</w:t>
      </w:r>
      <w:r w:rsidR="00742B2D" w:rsidRPr="00442051">
        <w:rPr>
          <w:rFonts w:cs="Times New Roman"/>
          <w:sz w:val="24"/>
          <w:szCs w:val="24"/>
        </w:rPr>
        <w:t xml:space="preserve"> et </w:t>
      </w:r>
      <w:r w:rsidR="00440E2C" w:rsidRPr="00442051">
        <w:rPr>
          <w:rFonts w:cs="Times New Roman"/>
          <w:sz w:val="24"/>
          <w:szCs w:val="24"/>
        </w:rPr>
        <w:t>des</w:t>
      </w:r>
      <w:r w:rsidR="00742B2D" w:rsidRPr="00442051">
        <w:rPr>
          <w:rFonts w:cs="Times New Roman"/>
          <w:sz w:val="24"/>
          <w:szCs w:val="24"/>
        </w:rPr>
        <w:t xml:space="preserve"> </w:t>
      </w:r>
      <w:r w:rsidR="00440E2C" w:rsidRPr="00442051">
        <w:rPr>
          <w:rFonts w:cs="Times New Roman"/>
          <w:sz w:val="24"/>
          <w:szCs w:val="24"/>
        </w:rPr>
        <w:t xml:space="preserve">dépôts </w:t>
      </w:r>
      <w:r w:rsidR="00742B2D" w:rsidRPr="00442051">
        <w:rPr>
          <w:rFonts w:cs="Times New Roman"/>
          <w:sz w:val="24"/>
          <w:szCs w:val="24"/>
        </w:rPr>
        <w:t>divers (</w:t>
      </w:r>
      <w:r w:rsidR="002E040D" w:rsidRPr="00442051">
        <w:rPr>
          <w:rFonts w:cs="Times New Roman"/>
          <w:sz w:val="24"/>
          <w:szCs w:val="24"/>
        </w:rPr>
        <w:t>+</w:t>
      </w:r>
      <w:r w:rsidR="00742B2D" w:rsidRPr="00442051">
        <w:rPr>
          <w:rFonts w:cs="Times New Roman"/>
          <w:sz w:val="24"/>
          <w:szCs w:val="24"/>
        </w:rPr>
        <w:t>654,8 MBIF).</w:t>
      </w:r>
    </w:p>
    <w:p w:rsidR="00F12C3B" w:rsidRPr="00D3466B" w:rsidRDefault="00742B2D" w:rsidP="008F34F5">
      <w:pPr>
        <w:pStyle w:val="Titre2"/>
        <w:spacing w:after="120"/>
        <w:rPr>
          <w:rFonts w:asciiTheme="minorHAnsi" w:hAnsiTheme="minorHAnsi" w:cs="Times New Roman"/>
          <w:b w:val="0"/>
          <w:color w:val="0070C0"/>
          <w:sz w:val="24"/>
          <w:szCs w:val="24"/>
        </w:rPr>
      </w:pPr>
      <w:bookmarkStart w:id="25" w:name="_Toc362356421"/>
      <w:bookmarkStart w:id="26" w:name="_Toc362444388"/>
      <w:r w:rsidRPr="00D3466B">
        <w:rPr>
          <w:rFonts w:asciiTheme="minorHAnsi" w:hAnsiTheme="minorHAnsi" w:cs="Times New Roman"/>
          <w:color w:val="0070C0"/>
          <w:sz w:val="24"/>
          <w:szCs w:val="24"/>
        </w:rPr>
        <w:t>Masse monétaire</w:t>
      </w:r>
      <w:bookmarkEnd w:id="25"/>
      <w:bookmarkEnd w:id="26"/>
    </w:p>
    <w:p w:rsidR="00742B2D" w:rsidRPr="00442051" w:rsidRDefault="00742B2D" w:rsidP="008F34F5">
      <w:pPr>
        <w:spacing w:after="120"/>
        <w:jc w:val="both"/>
        <w:rPr>
          <w:rFonts w:cs="Times New Roman"/>
          <w:sz w:val="24"/>
          <w:szCs w:val="24"/>
        </w:rPr>
      </w:pPr>
      <w:r w:rsidRPr="00442051">
        <w:rPr>
          <w:rFonts w:cs="Times New Roman"/>
          <w:sz w:val="24"/>
          <w:szCs w:val="24"/>
        </w:rPr>
        <w:t>Par rapport à fin mai 2012, la ma</w:t>
      </w:r>
      <w:r w:rsidR="00440E2C" w:rsidRPr="00442051">
        <w:rPr>
          <w:rFonts w:cs="Times New Roman"/>
          <w:sz w:val="24"/>
          <w:szCs w:val="24"/>
        </w:rPr>
        <w:t>sse monétaire  (784.072,9 contre 668.480,9</w:t>
      </w:r>
      <w:r w:rsidRPr="00442051">
        <w:rPr>
          <w:rFonts w:cs="Times New Roman"/>
          <w:sz w:val="24"/>
          <w:szCs w:val="24"/>
        </w:rPr>
        <w:t xml:space="preserve"> MBIF)</w:t>
      </w:r>
      <w:r w:rsidR="00965DA2" w:rsidRPr="00442051">
        <w:rPr>
          <w:rFonts w:cs="Times New Roman"/>
          <w:sz w:val="24"/>
          <w:szCs w:val="24"/>
        </w:rPr>
        <w:t xml:space="preserve"> a sensiblement progressé  de 120.095,8 MBIF, soit 18,1 p.c.</w:t>
      </w:r>
      <w:r w:rsidR="001A0F19" w:rsidRPr="00442051">
        <w:rPr>
          <w:rFonts w:cs="Times New Roman"/>
          <w:sz w:val="24"/>
          <w:szCs w:val="24"/>
        </w:rPr>
        <w:t>, en rapport avec l’accroissement des disponibilités monétaires (</w:t>
      </w:r>
      <w:r w:rsidR="00E001A7" w:rsidRPr="00442051">
        <w:rPr>
          <w:rFonts w:cs="Times New Roman"/>
          <w:sz w:val="24"/>
          <w:szCs w:val="24"/>
        </w:rPr>
        <w:t>+87.684,4 MBIF</w:t>
      </w:r>
      <w:r w:rsidR="001A0F19" w:rsidRPr="00442051">
        <w:rPr>
          <w:rFonts w:cs="Times New Roman"/>
          <w:sz w:val="24"/>
          <w:szCs w:val="24"/>
        </w:rPr>
        <w:t>) et de la quasi-monnaie (</w:t>
      </w:r>
      <w:r w:rsidR="00E001A7" w:rsidRPr="00442051">
        <w:rPr>
          <w:rFonts w:cs="Times New Roman"/>
          <w:sz w:val="24"/>
          <w:szCs w:val="24"/>
        </w:rPr>
        <w:t>+32.411,4 MBIF</w:t>
      </w:r>
      <w:r w:rsidR="001A0F19" w:rsidRPr="00442051">
        <w:rPr>
          <w:rFonts w:cs="Times New Roman"/>
          <w:sz w:val="24"/>
          <w:szCs w:val="24"/>
        </w:rPr>
        <w:t>).</w:t>
      </w:r>
    </w:p>
    <w:p w:rsidR="00E001A7" w:rsidRPr="00442051" w:rsidRDefault="00E001A7" w:rsidP="008F34F5">
      <w:pPr>
        <w:spacing w:after="120"/>
        <w:jc w:val="both"/>
        <w:rPr>
          <w:rFonts w:cs="Times New Roman"/>
          <w:sz w:val="24"/>
          <w:szCs w:val="24"/>
        </w:rPr>
      </w:pPr>
      <w:r w:rsidRPr="00442051">
        <w:rPr>
          <w:rFonts w:cs="Times New Roman"/>
          <w:sz w:val="24"/>
          <w:szCs w:val="24"/>
        </w:rPr>
        <w:lastRenderedPageBreak/>
        <w:t xml:space="preserve">La hausse des disponibilités monétaires a </w:t>
      </w:r>
      <w:r w:rsidR="003D54FA" w:rsidRPr="00442051">
        <w:rPr>
          <w:rFonts w:cs="Times New Roman"/>
          <w:sz w:val="24"/>
          <w:szCs w:val="24"/>
        </w:rPr>
        <w:t>concerné</w:t>
      </w:r>
      <w:r w:rsidRPr="00442051">
        <w:rPr>
          <w:rFonts w:cs="Times New Roman"/>
          <w:sz w:val="24"/>
          <w:szCs w:val="24"/>
        </w:rPr>
        <w:t xml:space="preserve"> les dépôts à vue (</w:t>
      </w:r>
      <w:r w:rsidR="003D54FA" w:rsidRPr="00442051">
        <w:rPr>
          <w:rFonts w:cs="Times New Roman"/>
          <w:sz w:val="24"/>
          <w:szCs w:val="24"/>
        </w:rPr>
        <w:t>+</w:t>
      </w:r>
      <w:r w:rsidRPr="00442051">
        <w:rPr>
          <w:rFonts w:cs="Times New Roman"/>
          <w:sz w:val="24"/>
          <w:szCs w:val="24"/>
        </w:rPr>
        <w:t>60.198,5 MBIF) et la circulation fiduciaire hors banques (</w:t>
      </w:r>
      <w:r w:rsidR="003D54FA" w:rsidRPr="00442051">
        <w:rPr>
          <w:rFonts w:cs="Times New Roman"/>
          <w:sz w:val="24"/>
          <w:szCs w:val="24"/>
        </w:rPr>
        <w:t>+</w:t>
      </w:r>
      <w:r w:rsidRPr="00442051">
        <w:rPr>
          <w:rFonts w:cs="Times New Roman"/>
          <w:sz w:val="24"/>
          <w:szCs w:val="24"/>
        </w:rPr>
        <w:t>27.485,9 MBIF)</w:t>
      </w:r>
      <w:r w:rsidR="003D54FA" w:rsidRPr="00442051">
        <w:rPr>
          <w:rFonts w:cs="Times New Roman"/>
          <w:sz w:val="24"/>
          <w:szCs w:val="24"/>
        </w:rPr>
        <w:t>.</w:t>
      </w:r>
    </w:p>
    <w:p w:rsidR="003D54FA" w:rsidRPr="00442051" w:rsidRDefault="003D54FA" w:rsidP="008F34F5">
      <w:pPr>
        <w:spacing w:after="120"/>
        <w:jc w:val="both"/>
        <w:rPr>
          <w:rFonts w:cs="Times New Roman"/>
          <w:sz w:val="24"/>
          <w:szCs w:val="24"/>
        </w:rPr>
      </w:pPr>
      <w:r w:rsidRPr="00442051">
        <w:rPr>
          <w:rFonts w:cs="Times New Roman"/>
          <w:sz w:val="24"/>
          <w:szCs w:val="24"/>
        </w:rPr>
        <w:t xml:space="preserve">L’augmentation des dépôts à vue a porté sur </w:t>
      </w:r>
      <w:r w:rsidR="00BE0247" w:rsidRPr="00442051">
        <w:rPr>
          <w:rFonts w:cs="Times New Roman"/>
          <w:sz w:val="24"/>
          <w:szCs w:val="24"/>
        </w:rPr>
        <w:t>les</w:t>
      </w:r>
      <w:r w:rsidR="00BC032B" w:rsidRPr="00442051">
        <w:rPr>
          <w:rFonts w:cs="Times New Roman"/>
          <w:sz w:val="24"/>
          <w:szCs w:val="24"/>
        </w:rPr>
        <w:t xml:space="preserve"> avoirs des particuliers (+2.996,3 MBIF), des entreprises privées (+11.903,9 MBIF), des établissements financiers (+1.091,0 MBIF) et ceux classés dans les </w:t>
      </w:r>
      <w:r w:rsidR="00440E2C" w:rsidRPr="00442051">
        <w:rPr>
          <w:rFonts w:cs="Times New Roman"/>
          <w:sz w:val="24"/>
          <w:szCs w:val="24"/>
        </w:rPr>
        <w:t>« </w:t>
      </w:r>
      <w:r w:rsidR="00BC032B" w:rsidRPr="00442051">
        <w:rPr>
          <w:rFonts w:cs="Times New Roman"/>
          <w:sz w:val="24"/>
          <w:szCs w:val="24"/>
        </w:rPr>
        <w:t>autres comptes</w:t>
      </w:r>
      <w:r w:rsidR="00440E2C" w:rsidRPr="00442051">
        <w:rPr>
          <w:rFonts w:cs="Times New Roman"/>
          <w:sz w:val="24"/>
          <w:szCs w:val="24"/>
        </w:rPr>
        <w:t> »</w:t>
      </w:r>
      <w:r w:rsidR="00BC032B" w:rsidRPr="00442051">
        <w:rPr>
          <w:rFonts w:cs="Times New Roman"/>
          <w:sz w:val="24"/>
          <w:szCs w:val="24"/>
        </w:rPr>
        <w:t xml:space="preserve"> (+45.248,5 MBIF). En revanche, les dépôts des sociétés à participation publique (-1</w:t>
      </w:r>
      <w:r w:rsidR="00F555FD" w:rsidRPr="00442051">
        <w:rPr>
          <w:rFonts w:cs="Times New Roman"/>
          <w:sz w:val="24"/>
          <w:szCs w:val="24"/>
        </w:rPr>
        <w:t>.</w:t>
      </w:r>
      <w:r w:rsidR="00BC032B" w:rsidRPr="00442051">
        <w:rPr>
          <w:rFonts w:cs="Times New Roman"/>
          <w:sz w:val="24"/>
          <w:szCs w:val="24"/>
        </w:rPr>
        <w:t>041,2 MBIF) se sont inscrits en baisse.</w:t>
      </w:r>
    </w:p>
    <w:p w:rsidR="00B63D08" w:rsidRPr="00442051" w:rsidRDefault="00B63D08" w:rsidP="00CD47BE">
      <w:pPr>
        <w:spacing w:after="120"/>
        <w:jc w:val="both"/>
        <w:rPr>
          <w:rFonts w:cs="Times New Roman"/>
          <w:sz w:val="24"/>
          <w:szCs w:val="24"/>
        </w:rPr>
      </w:pPr>
      <w:r w:rsidRPr="00442051">
        <w:rPr>
          <w:rFonts w:cs="Times New Roman"/>
          <w:sz w:val="24"/>
          <w:szCs w:val="24"/>
        </w:rPr>
        <w:t>La progression</w:t>
      </w:r>
      <w:r w:rsidR="00FF56F6" w:rsidRPr="00442051">
        <w:rPr>
          <w:rFonts w:cs="Times New Roman"/>
          <w:sz w:val="24"/>
          <w:szCs w:val="24"/>
        </w:rPr>
        <w:t xml:space="preserve"> des dépôts à terme et d’épargne </w:t>
      </w:r>
      <w:r w:rsidR="00440E2C" w:rsidRPr="00442051">
        <w:rPr>
          <w:rFonts w:cs="Times New Roman"/>
          <w:sz w:val="24"/>
          <w:szCs w:val="24"/>
        </w:rPr>
        <w:t>est</w:t>
      </w:r>
      <w:r w:rsidR="00FF56F6" w:rsidRPr="00442051">
        <w:rPr>
          <w:rFonts w:cs="Times New Roman"/>
          <w:sz w:val="24"/>
          <w:szCs w:val="24"/>
        </w:rPr>
        <w:t xml:space="preserve"> principalement liée à la hausse des placements des particuliers (+14.540,7 MBIF), des entreprises privées (</w:t>
      </w:r>
      <w:r w:rsidR="00F555FD" w:rsidRPr="00442051">
        <w:rPr>
          <w:rFonts w:cs="Times New Roman"/>
          <w:sz w:val="24"/>
          <w:szCs w:val="24"/>
        </w:rPr>
        <w:t>+</w:t>
      </w:r>
      <w:r w:rsidR="00FF56F6" w:rsidRPr="00442051">
        <w:rPr>
          <w:rFonts w:cs="Times New Roman"/>
          <w:sz w:val="24"/>
          <w:szCs w:val="24"/>
        </w:rPr>
        <w:t>8.028,5 MBIF) et ceux  regroupés dans les « autres comptes » (+9.938,2 MBIF).</w:t>
      </w:r>
    </w:p>
    <w:p w:rsidR="003C33AF" w:rsidRPr="00D3466B" w:rsidRDefault="003C33AF" w:rsidP="008F34F5">
      <w:pPr>
        <w:pStyle w:val="Titre2"/>
        <w:spacing w:after="120"/>
        <w:rPr>
          <w:rFonts w:asciiTheme="minorHAnsi" w:hAnsiTheme="minorHAnsi" w:cs="Times New Roman"/>
          <w:b w:val="0"/>
          <w:color w:val="0070C0"/>
          <w:sz w:val="24"/>
          <w:szCs w:val="24"/>
        </w:rPr>
      </w:pPr>
      <w:bookmarkStart w:id="27" w:name="_Toc362356422"/>
      <w:bookmarkStart w:id="28" w:name="_Toc362444389"/>
      <w:r w:rsidRPr="00D3466B">
        <w:rPr>
          <w:rFonts w:asciiTheme="minorHAnsi" w:hAnsiTheme="minorHAnsi" w:cs="Times New Roman"/>
          <w:color w:val="0070C0"/>
          <w:sz w:val="24"/>
          <w:szCs w:val="24"/>
        </w:rPr>
        <w:t>Contreparties</w:t>
      </w:r>
      <w:bookmarkEnd w:id="27"/>
      <w:bookmarkEnd w:id="28"/>
    </w:p>
    <w:p w:rsidR="003C33AF" w:rsidRPr="00442051" w:rsidRDefault="003C33AF" w:rsidP="008F34F5">
      <w:pPr>
        <w:spacing w:after="120"/>
        <w:jc w:val="both"/>
        <w:rPr>
          <w:rFonts w:cs="Times New Roman"/>
          <w:sz w:val="24"/>
          <w:szCs w:val="24"/>
        </w:rPr>
      </w:pPr>
      <w:r w:rsidRPr="00442051">
        <w:rPr>
          <w:rFonts w:cs="Times New Roman"/>
          <w:sz w:val="24"/>
          <w:szCs w:val="24"/>
        </w:rPr>
        <w:t>S’établissant à 1</w:t>
      </w:r>
      <w:r w:rsidR="00A44709" w:rsidRPr="00442051">
        <w:rPr>
          <w:rFonts w:cs="Times New Roman"/>
          <w:sz w:val="24"/>
          <w:szCs w:val="24"/>
        </w:rPr>
        <w:t>.</w:t>
      </w:r>
      <w:r w:rsidRPr="00442051">
        <w:rPr>
          <w:rFonts w:cs="Times New Roman"/>
          <w:sz w:val="24"/>
          <w:szCs w:val="24"/>
        </w:rPr>
        <w:t>006</w:t>
      </w:r>
      <w:r w:rsidR="00A44709" w:rsidRPr="00442051">
        <w:rPr>
          <w:rFonts w:cs="Times New Roman"/>
          <w:sz w:val="24"/>
          <w:szCs w:val="24"/>
        </w:rPr>
        <w:t>.</w:t>
      </w:r>
      <w:r w:rsidRPr="00442051">
        <w:rPr>
          <w:rFonts w:cs="Times New Roman"/>
          <w:sz w:val="24"/>
          <w:szCs w:val="24"/>
        </w:rPr>
        <w:t xml:space="preserve">822,0 contre 866.476,5 MBIF, le crédit intérieur s’est accru de 140.345,5 MBIF, soit 16,2 p.c., en rapport avec l’expansion </w:t>
      </w:r>
      <w:r w:rsidR="008F4C88" w:rsidRPr="00442051">
        <w:rPr>
          <w:rFonts w:cs="Times New Roman"/>
          <w:sz w:val="24"/>
          <w:szCs w:val="24"/>
        </w:rPr>
        <w:t xml:space="preserve">des créances nettes </w:t>
      </w:r>
      <w:r w:rsidR="000D12EB">
        <w:rPr>
          <w:rFonts w:cs="Times New Roman"/>
          <w:sz w:val="24"/>
          <w:szCs w:val="24"/>
        </w:rPr>
        <w:t xml:space="preserve">sur l’Etat </w:t>
      </w:r>
      <w:r w:rsidR="008F4C88" w:rsidRPr="00442051">
        <w:rPr>
          <w:rFonts w:cs="Times New Roman"/>
          <w:sz w:val="24"/>
          <w:szCs w:val="24"/>
        </w:rPr>
        <w:t>(+84.715,4 MBIF) et des créances sur l’économie (+55.630,1 MBIF).</w:t>
      </w:r>
    </w:p>
    <w:p w:rsidR="008F4C88" w:rsidRPr="00442051" w:rsidRDefault="008F4C88" w:rsidP="008F34F5">
      <w:pPr>
        <w:spacing w:after="120"/>
        <w:jc w:val="both"/>
        <w:rPr>
          <w:rFonts w:cs="Times New Roman"/>
          <w:sz w:val="24"/>
          <w:szCs w:val="24"/>
        </w:rPr>
      </w:pPr>
      <w:r w:rsidRPr="00442051">
        <w:rPr>
          <w:rFonts w:cs="Times New Roman"/>
          <w:sz w:val="24"/>
          <w:szCs w:val="24"/>
        </w:rPr>
        <w:t>L’augmentation de l’endettement net de l’Etat a résulté principalement  de la hausse des avances de la Banque Centrale (+134.430,1 MBIF)</w:t>
      </w:r>
      <w:r w:rsidR="00A44709" w:rsidRPr="00442051">
        <w:rPr>
          <w:rFonts w:cs="Times New Roman"/>
          <w:sz w:val="24"/>
          <w:szCs w:val="24"/>
        </w:rPr>
        <w:t xml:space="preserve"> et de l’encours des Bons et Obligations du Trésor détenus par les banques commerciales (+1.540,9 MBIF) qui a  contrebalancé l’accroissement des dépôts du secteur gouvernemental (+52.331,6 MBIF).</w:t>
      </w:r>
    </w:p>
    <w:p w:rsidR="00A44709" w:rsidRPr="00442051" w:rsidRDefault="00A44709" w:rsidP="00CD47BE">
      <w:pPr>
        <w:spacing w:after="120"/>
        <w:jc w:val="both"/>
        <w:rPr>
          <w:rFonts w:cs="Times New Roman"/>
          <w:sz w:val="24"/>
          <w:szCs w:val="24"/>
        </w:rPr>
      </w:pPr>
      <w:r w:rsidRPr="00442051">
        <w:rPr>
          <w:rFonts w:cs="Times New Roman"/>
          <w:sz w:val="24"/>
          <w:szCs w:val="24"/>
        </w:rPr>
        <w:t xml:space="preserve">L’expansion des créances sur l’économie a concerné principalement les crédits de trésorerie (+34.510,9 MBIF) et les </w:t>
      </w:r>
      <w:r w:rsidRPr="00442051">
        <w:rPr>
          <w:rFonts w:cs="Times New Roman"/>
          <w:sz w:val="24"/>
          <w:szCs w:val="24"/>
        </w:rPr>
        <w:lastRenderedPageBreak/>
        <w:t xml:space="preserve">financements à moyen (+18.370,0 MBIF) et </w:t>
      </w:r>
      <w:r w:rsidR="00BD291B" w:rsidRPr="00442051">
        <w:rPr>
          <w:rFonts w:cs="Times New Roman"/>
          <w:sz w:val="24"/>
          <w:szCs w:val="24"/>
        </w:rPr>
        <w:t>long termes (+4.105,0 MBIF).</w:t>
      </w:r>
    </w:p>
    <w:p w:rsidR="003A2458" w:rsidRDefault="00BD291B" w:rsidP="003A2458">
      <w:pPr>
        <w:spacing w:after="240"/>
        <w:jc w:val="both"/>
        <w:rPr>
          <w:rFonts w:cs="Times New Roman"/>
          <w:sz w:val="24"/>
          <w:szCs w:val="24"/>
        </w:rPr>
      </w:pPr>
      <w:r w:rsidRPr="00442051">
        <w:rPr>
          <w:rFonts w:cs="Times New Roman"/>
          <w:sz w:val="24"/>
          <w:szCs w:val="24"/>
        </w:rPr>
        <w:t>Revenant de 18.233,8 à 15.106,6 MBIF, les avoirs extérieurs nets ont diminué de 3.</w:t>
      </w:r>
      <w:r w:rsidR="004F5A83" w:rsidRPr="00442051">
        <w:rPr>
          <w:rFonts w:cs="Times New Roman"/>
          <w:sz w:val="24"/>
          <w:szCs w:val="24"/>
        </w:rPr>
        <w:t xml:space="preserve">127,2 MBIF, soit -17,2 p.c. </w:t>
      </w:r>
      <w:r w:rsidR="00700195" w:rsidRPr="00442051">
        <w:rPr>
          <w:rFonts w:cs="Times New Roman"/>
          <w:sz w:val="24"/>
          <w:szCs w:val="24"/>
        </w:rPr>
        <w:t xml:space="preserve">Exprimées en dollars américains, les réserves de change nettes ont baissé de </w:t>
      </w:r>
      <w:r w:rsidR="004F5A83" w:rsidRPr="00442051">
        <w:rPr>
          <w:rFonts w:cs="Times New Roman"/>
          <w:sz w:val="24"/>
          <w:szCs w:val="24"/>
        </w:rPr>
        <w:t>24,0 p.c., se fixant à 9,8 contre 12,9 millions de dollars à fin mai 2012.</w:t>
      </w:r>
      <w:bookmarkStart w:id="29" w:name="_Toc362356423"/>
      <w:bookmarkStart w:id="30" w:name="_Toc362444390"/>
    </w:p>
    <w:p w:rsidR="0096134B" w:rsidRPr="003A2458" w:rsidRDefault="0096134B" w:rsidP="003A2458">
      <w:pPr>
        <w:spacing w:after="240"/>
        <w:jc w:val="both"/>
        <w:rPr>
          <w:b/>
          <w:color w:val="0070C0"/>
          <w:sz w:val="24"/>
          <w:szCs w:val="24"/>
          <w:lang w:val="fr-BE"/>
        </w:rPr>
      </w:pPr>
      <w:r w:rsidRPr="003A2458">
        <w:rPr>
          <w:b/>
          <w:color w:val="0070C0"/>
          <w:sz w:val="24"/>
          <w:szCs w:val="24"/>
          <w:lang w:val="fr-BE"/>
        </w:rPr>
        <w:t>VI. COMMERCE EXTERIEUR</w:t>
      </w:r>
      <w:bookmarkEnd w:id="29"/>
      <w:bookmarkEnd w:id="30"/>
    </w:p>
    <w:p w:rsidR="0096134B" w:rsidRPr="00D3466B" w:rsidRDefault="0096134B" w:rsidP="008F34F5">
      <w:pPr>
        <w:pStyle w:val="Titre2"/>
        <w:spacing w:after="120"/>
        <w:rPr>
          <w:rFonts w:asciiTheme="minorHAnsi" w:hAnsiTheme="minorHAnsi"/>
          <w:color w:val="0070C0"/>
          <w:sz w:val="24"/>
          <w:szCs w:val="24"/>
          <w:lang w:val="fr-BE"/>
        </w:rPr>
      </w:pPr>
      <w:bookmarkStart w:id="31" w:name="_Toc362356424"/>
      <w:bookmarkStart w:id="32" w:name="_Toc362444391"/>
      <w:r w:rsidRPr="00D3466B">
        <w:rPr>
          <w:rFonts w:asciiTheme="minorHAnsi" w:hAnsiTheme="minorHAnsi"/>
          <w:color w:val="0070C0"/>
          <w:sz w:val="24"/>
          <w:szCs w:val="24"/>
          <w:lang w:val="fr-BE"/>
        </w:rPr>
        <w:t>Exportations</w:t>
      </w:r>
      <w:bookmarkEnd w:id="31"/>
      <w:bookmarkEnd w:id="32"/>
    </w:p>
    <w:p w:rsidR="0096134B" w:rsidRPr="00442051" w:rsidRDefault="0096134B" w:rsidP="008F34F5">
      <w:pPr>
        <w:spacing w:after="120"/>
        <w:jc w:val="both"/>
        <w:rPr>
          <w:sz w:val="24"/>
          <w:szCs w:val="24"/>
          <w:lang w:val="fr-BE"/>
        </w:rPr>
      </w:pPr>
      <w:r w:rsidRPr="00442051">
        <w:rPr>
          <w:sz w:val="24"/>
          <w:szCs w:val="24"/>
          <w:lang w:val="fr-BE"/>
        </w:rPr>
        <w:t>Le cumul des exportations à la fin du mois de mai 2013 s’élève à 49.937,3MBIF contre 52.257,5 MBIF enregistré à fin mai 2012, soit un recul de 4,4 p.c.</w:t>
      </w:r>
      <w:r w:rsidRPr="00442051">
        <w:rPr>
          <w:rFonts w:eastAsia="Calibri" w:cs="Times New Roman"/>
          <w:sz w:val="24"/>
          <w:szCs w:val="24"/>
          <w:lang w:val="fr-BE"/>
        </w:rPr>
        <w:t xml:space="preserve">, sous l’effet de la </w:t>
      </w:r>
      <w:r w:rsidRPr="00442051">
        <w:rPr>
          <w:sz w:val="24"/>
          <w:szCs w:val="24"/>
          <w:lang w:val="fr-BE"/>
        </w:rPr>
        <w:t>bai</w:t>
      </w:r>
      <w:r w:rsidRPr="00442051">
        <w:rPr>
          <w:rFonts w:eastAsia="Calibri" w:cs="Times New Roman"/>
          <w:sz w:val="24"/>
          <w:szCs w:val="24"/>
          <w:lang w:val="fr-BE"/>
        </w:rPr>
        <w:t xml:space="preserve">sse des exportations </w:t>
      </w:r>
      <w:r w:rsidRPr="00442051">
        <w:rPr>
          <w:sz w:val="24"/>
          <w:szCs w:val="24"/>
          <w:lang w:val="fr-BE"/>
        </w:rPr>
        <w:t xml:space="preserve">des produits primaires principalement les peaux brutes </w:t>
      </w:r>
      <w:r w:rsidRPr="00442051">
        <w:rPr>
          <w:rFonts w:eastAsia="Calibri" w:cs="Times New Roman"/>
          <w:sz w:val="24"/>
          <w:szCs w:val="24"/>
          <w:lang w:val="fr-BE"/>
        </w:rPr>
        <w:t>(</w:t>
      </w:r>
      <w:r w:rsidRPr="00442051">
        <w:rPr>
          <w:sz w:val="24"/>
          <w:szCs w:val="24"/>
          <w:lang w:val="fr-BE"/>
        </w:rPr>
        <w:t>1.663,6</w:t>
      </w:r>
      <w:r w:rsidRPr="00442051">
        <w:rPr>
          <w:rFonts w:eastAsia="Calibri" w:cs="Times New Roman"/>
          <w:sz w:val="24"/>
          <w:szCs w:val="24"/>
          <w:lang w:val="fr-BE"/>
        </w:rPr>
        <w:t xml:space="preserve"> contre </w:t>
      </w:r>
      <w:r w:rsidRPr="00442051">
        <w:rPr>
          <w:sz w:val="24"/>
          <w:szCs w:val="24"/>
          <w:lang w:val="fr-BE"/>
        </w:rPr>
        <w:t>4.201,5 MBIF), l</w:t>
      </w:r>
      <w:r w:rsidRPr="00442051">
        <w:rPr>
          <w:rFonts w:eastAsia="Calibri" w:cs="Times New Roman"/>
          <w:sz w:val="24"/>
          <w:szCs w:val="24"/>
          <w:lang w:val="fr-BE"/>
        </w:rPr>
        <w:t xml:space="preserve">es </w:t>
      </w:r>
      <w:r w:rsidRPr="00442051">
        <w:rPr>
          <w:sz w:val="24"/>
          <w:szCs w:val="24"/>
          <w:lang w:val="fr-BE"/>
        </w:rPr>
        <w:t>autres produits primaires</w:t>
      </w:r>
      <w:r w:rsidRPr="00442051">
        <w:rPr>
          <w:rFonts w:eastAsia="Calibri" w:cs="Times New Roman"/>
          <w:sz w:val="24"/>
          <w:szCs w:val="24"/>
          <w:lang w:val="fr-BE"/>
        </w:rPr>
        <w:t xml:space="preserve"> (</w:t>
      </w:r>
      <w:r w:rsidRPr="00442051">
        <w:rPr>
          <w:sz w:val="24"/>
          <w:szCs w:val="24"/>
          <w:lang w:val="fr-BE"/>
        </w:rPr>
        <w:t>5.341,4</w:t>
      </w:r>
      <w:r w:rsidRPr="00442051">
        <w:rPr>
          <w:rFonts w:eastAsia="Calibri" w:cs="Times New Roman"/>
          <w:sz w:val="24"/>
          <w:szCs w:val="24"/>
          <w:lang w:val="fr-BE"/>
        </w:rPr>
        <w:t xml:space="preserve"> contre </w:t>
      </w:r>
      <w:r w:rsidRPr="00442051">
        <w:rPr>
          <w:sz w:val="24"/>
          <w:szCs w:val="24"/>
          <w:lang w:val="fr-BE"/>
        </w:rPr>
        <w:t xml:space="preserve">12.374,2 </w:t>
      </w:r>
      <w:r w:rsidRPr="00442051">
        <w:rPr>
          <w:rFonts w:eastAsia="Calibri" w:cs="Times New Roman"/>
          <w:sz w:val="24"/>
          <w:szCs w:val="24"/>
          <w:lang w:val="fr-BE"/>
        </w:rPr>
        <w:t xml:space="preserve">MBIF) </w:t>
      </w:r>
      <w:r w:rsidRPr="00442051">
        <w:rPr>
          <w:sz w:val="24"/>
          <w:szCs w:val="24"/>
          <w:lang w:val="fr-BE"/>
        </w:rPr>
        <w:t>ainsi qu’une légère réduction des expéditions de café (14.448,0 contre 14.741,0 MBIF).</w:t>
      </w:r>
      <w:r w:rsidR="000D12EB">
        <w:rPr>
          <w:sz w:val="24"/>
          <w:szCs w:val="24"/>
          <w:lang w:val="fr-BE"/>
        </w:rPr>
        <w:t xml:space="preserve"> </w:t>
      </w:r>
      <w:r w:rsidRPr="00442051">
        <w:rPr>
          <w:sz w:val="24"/>
          <w:szCs w:val="24"/>
          <w:lang w:val="fr-BE"/>
        </w:rPr>
        <w:t>En revanche, les exportations ont augmenté de 21,3 p.c. en volume, passant de 14.365 à 17.430 T.</w:t>
      </w:r>
    </w:p>
    <w:p w:rsidR="0096134B" w:rsidRPr="00442051" w:rsidRDefault="0096134B" w:rsidP="008F34F5">
      <w:pPr>
        <w:spacing w:after="120"/>
        <w:jc w:val="both"/>
        <w:rPr>
          <w:rFonts w:eastAsia="Calibri" w:cs="Times New Roman"/>
          <w:sz w:val="24"/>
          <w:szCs w:val="24"/>
          <w:lang w:val="fr-BE"/>
        </w:rPr>
      </w:pPr>
      <w:r w:rsidRPr="00442051">
        <w:rPr>
          <w:rFonts w:eastAsia="Calibri" w:cs="Times New Roman"/>
          <w:sz w:val="24"/>
          <w:szCs w:val="24"/>
          <w:lang w:val="fr-BE"/>
        </w:rPr>
        <w:t xml:space="preserve">Par rapport au mois </w:t>
      </w:r>
      <w:r w:rsidRPr="00442051">
        <w:rPr>
          <w:sz w:val="24"/>
          <w:szCs w:val="24"/>
          <w:lang w:val="fr-BE"/>
        </w:rPr>
        <w:t>précédent, les exportations de mai 2013</w:t>
      </w:r>
      <w:r w:rsidRPr="00442051">
        <w:rPr>
          <w:rFonts w:eastAsia="Calibri" w:cs="Times New Roman"/>
          <w:sz w:val="24"/>
          <w:szCs w:val="24"/>
          <w:lang w:val="fr-BE"/>
        </w:rPr>
        <w:t xml:space="preserve"> ont augmenté de 52,6 p.c. en valeur, passant de </w:t>
      </w:r>
      <w:r w:rsidRPr="00442051">
        <w:rPr>
          <w:sz w:val="24"/>
          <w:szCs w:val="24"/>
          <w:lang w:val="fr-BE"/>
        </w:rPr>
        <w:t>6.521,7</w:t>
      </w:r>
      <w:r w:rsidRPr="00442051">
        <w:rPr>
          <w:rFonts w:eastAsia="Calibri" w:cs="Times New Roman"/>
          <w:sz w:val="24"/>
          <w:szCs w:val="24"/>
          <w:lang w:val="fr-BE"/>
        </w:rPr>
        <w:t xml:space="preserve"> à </w:t>
      </w:r>
      <w:r w:rsidRPr="00442051">
        <w:rPr>
          <w:sz w:val="24"/>
          <w:szCs w:val="24"/>
          <w:lang w:val="fr-BE"/>
        </w:rPr>
        <w:t>9.951,3</w:t>
      </w:r>
      <w:r w:rsidRPr="00442051">
        <w:rPr>
          <w:rFonts w:eastAsia="Calibri" w:cs="Times New Roman"/>
          <w:sz w:val="24"/>
          <w:szCs w:val="24"/>
          <w:lang w:val="fr-BE"/>
        </w:rPr>
        <w:t xml:space="preserve"> MBIF et de</w:t>
      </w:r>
      <w:r w:rsidRPr="00442051">
        <w:rPr>
          <w:sz w:val="24"/>
          <w:szCs w:val="24"/>
          <w:lang w:val="fr-BE"/>
        </w:rPr>
        <w:t xml:space="preserve"> 58,6</w:t>
      </w:r>
      <w:r w:rsidRPr="00442051">
        <w:rPr>
          <w:rFonts w:eastAsia="Calibri" w:cs="Times New Roman"/>
          <w:sz w:val="24"/>
          <w:szCs w:val="24"/>
          <w:lang w:val="fr-BE"/>
        </w:rPr>
        <w:t xml:space="preserve"> p.c. en tonnage, passant de 2.</w:t>
      </w:r>
      <w:r w:rsidRPr="00442051">
        <w:rPr>
          <w:sz w:val="24"/>
          <w:szCs w:val="24"/>
          <w:lang w:val="fr-BE"/>
        </w:rPr>
        <w:t>621</w:t>
      </w:r>
      <w:r w:rsidRPr="00442051">
        <w:rPr>
          <w:rFonts w:eastAsia="Calibri" w:cs="Times New Roman"/>
          <w:sz w:val="24"/>
          <w:szCs w:val="24"/>
          <w:lang w:val="fr-BE"/>
        </w:rPr>
        <w:t xml:space="preserve"> à </w:t>
      </w:r>
      <w:r w:rsidRPr="00442051">
        <w:rPr>
          <w:sz w:val="24"/>
          <w:szCs w:val="24"/>
          <w:lang w:val="fr-BE"/>
        </w:rPr>
        <w:t>4.156</w:t>
      </w:r>
      <w:r w:rsidRPr="00442051">
        <w:rPr>
          <w:rFonts w:eastAsia="Calibri" w:cs="Times New Roman"/>
          <w:sz w:val="24"/>
          <w:szCs w:val="24"/>
          <w:lang w:val="fr-BE"/>
        </w:rPr>
        <w:t xml:space="preserve"> T.</w:t>
      </w:r>
    </w:p>
    <w:p w:rsidR="0096134B" w:rsidRPr="00D3466B" w:rsidRDefault="0096134B" w:rsidP="008F34F5">
      <w:pPr>
        <w:pStyle w:val="Titre2"/>
        <w:spacing w:after="120"/>
        <w:rPr>
          <w:rFonts w:asciiTheme="minorHAnsi" w:hAnsiTheme="minorHAnsi"/>
          <w:b w:val="0"/>
          <w:color w:val="0070C0"/>
          <w:sz w:val="24"/>
          <w:szCs w:val="24"/>
          <w:lang w:val="fr-BE"/>
        </w:rPr>
      </w:pPr>
      <w:bookmarkStart w:id="33" w:name="_Toc362356425"/>
      <w:bookmarkStart w:id="34" w:name="_Toc362444392"/>
      <w:r w:rsidRPr="00D3466B">
        <w:rPr>
          <w:rFonts w:asciiTheme="minorHAnsi" w:hAnsiTheme="minorHAnsi"/>
          <w:color w:val="0070C0"/>
          <w:sz w:val="24"/>
          <w:szCs w:val="24"/>
          <w:lang w:val="fr-BE"/>
        </w:rPr>
        <w:t>Importations</w:t>
      </w:r>
      <w:bookmarkEnd w:id="33"/>
      <w:bookmarkEnd w:id="34"/>
      <w:r w:rsidRPr="00D3466B">
        <w:rPr>
          <w:rFonts w:asciiTheme="minorHAnsi" w:hAnsiTheme="minorHAnsi"/>
          <w:color w:val="0070C0"/>
          <w:sz w:val="24"/>
          <w:szCs w:val="24"/>
          <w:lang w:val="fr-BE"/>
        </w:rPr>
        <w:t xml:space="preserve"> </w:t>
      </w:r>
    </w:p>
    <w:p w:rsidR="0096134B" w:rsidRPr="00442051" w:rsidRDefault="0096134B" w:rsidP="008F34F5">
      <w:pPr>
        <w:spacing w:after="120"/>
        <w:jc w:val="both"/>
        <w:rPr>
          <w:sz w:val="24"/>
          <w:szCs w:val="24"/>
        </w:rPr>
      </w:pPr>
      <w:r w:rsidRPr="00442051">
        <w:rPr>
          <w:sz w:val="24"/>
          <w:szCs w:val="24"/>
        </w:rPr>
        <w:t>D’une fin de période à l’autre, les mises en consommations cumulées du mois de mai 2013 ont augmenté de 32,5 p.c. en valeur et de 7,9 p.c. en volume passant respectivement de 417.742,7 à 553.375,6 MBIF et de 277.360 à 299.364 T.</w:t>
      </w:r>
    </w:p>
    <w:p w:rsidR="0096134B" w:rsidRPr="00442051" w:rsidRDefault="0096134B" w:rsidP="008F34F5">
      <w:pPr>
        <w:spacing w:after="120"/>
        <w:jc w:val="both"/>
        <w:rPr>
          <w:sz w:val="24"/>
          <w:szCs w:val="24"/>
          <w:lang w:val="fr-BE"/>
        </w:rPr>
      </w:pPr>
      <w:r w:rsidRPr="00442051">
        <w:rPr>
          <w:sz w:val="24"/>
          <w:szCs w:val="24"/>
          <w:lang w:val="fr-BE"/>
        </w:rPr>
        <w:t xml:space="preserve">Cet accroissement est lié principalement à la hausse des importations des biens de </w:t>
      </w:r>
      <w:r w:rsidRPr="00442051">
        <w:rPr>
          <w:sz w:val="24"/>
          <w:szCs w:val="24"/>
          <w:lang w:val="fr-BE"/>
        </w:rPr>
        <w:lastRenderedPageBreak/>
        <w:t xml:space="preserve">production (226.926,1 contre 191.624 ,5 MBIF), des biens d’équipement (155.666,9 contre 100.093,6 MBIF) et des biens de consommation (170.782,7 contre 126.024,5 MBIF). </w:t>
      </w:r>
    </w:p>
    <w:p w:rsidR="0096134B" w:rsidRPr="00442051" w:rsidRDefault="0096134B" w:rsidP="008F34F5">
      <w:pPr>
        <w:spacing w:after="120"/>
        <w:jc w:val="both"/>
        <w:rPr>
          <w:sz w:val="24"/>
          <w:szCs w:val="24"/>
        </w:rPr>
      </w:pPr>
      <w:r w:rsidRPr="00442051">
        <w:rPr>
          <w:sz w:val="24"/>
          <w:szCs w:val="24"/>
        </w:rPr>
        <w:t>La progression  en importations des biens de production a concerné les biens destinés à la métallurgie (22.514,6 contre 19.538,5 MBIF), à l’agriculture et l’élevage (13.420,6 contre 10.093,2 MBIF), à l’alimentation  (33.297,3 contre 31.230,3 MBIF) ainsi que les produits chimiques (10.226,9 contre 6.181,9 MBIF) et pétroliers (108.816,2 contre 71.551,5 MBIF).</w:t>
      </w:r>
    </w:p>
    <w:p w:rsidR="0096134B" w:rsidRPr="00442051" w:rsidRDefault="0096134B" w:rsidP="00CD47BE">
      <w:pPr>
        <w:spacing w:after="120"/>
        <w:jc w:val="both"/>
        <w:rPr>
          <w:sz w:val="24"/>
          <w:szCs w:val="24"/>
        </w:rPr>
      </w:pPr>
      <w:r w:rsidRPr="00442051">
        <w:rPr>
          <w:sz w:val="24"/>
          <w:szCs w:val="24"/>
        </w:rPr>
        <w:t xml:space="preserve"> De son côté, l’augmentation des biens d’équipement a porté sur l’importation des chaudières et engins mécaniques (47.842,5 contre 38.644,9 MBIF) ainsi que des tracteurs, véhicules et engins pour le transport (72.299,7 contre 23.790,4 MBIF). </w:t>
      </w:r>
    </w:p>
    <w:p w:rsidR="0096134B" w:rsidRPr="00442051" w:rsidRDefault="0096134B" w:rsidP="008F34F5">
      <w:pPr>
        <w:spacing w:after="120"/>
        <w:jc w:val="both"/>
        <w:rPr>
          <w:sz w:val="24"/>
          <w:szCs w:val="24"/>
          <w:lang w:val="fr-BE"/>
        </w:rPr>
      </w:pPr>
      <w:r w:rsidRPr="00442051">
        <w:rPr>
          <w:sz w:val="24"/>
          <w:szCs w:val="24"/>
        </w:rPr>
        <w:t>S’agissant des biens de consommation, l’accroissement est imputable à l’augmentation des biens de consommations</w:t>
      </w:r>
      <w:r w:rsidRPr="00442051">
        <w:rPr>
          <w:sz w:val="24"/>
          <w:szCs w:val="24"/>
          <w:lang w:val="fr-BE"/>
        </w:rPr>
        <w:t xml:space="preserve"> durables (62.612,4 contre 48.264,3 MBIF) ainsi que les biens de consommation non durables (108.170,3 contre 77.760,2 MBIF). </w:t>
      </w:r>
    </w:p>
    <w:p w:rsidR="0096134B" w:rsidRPr="00442051" w:rsidRDefault="0096134B" w:rsidP="008F34F5">
      <w:pPr>
        <w:spacing w:after="120"/>
        <w:jc w:val="both"/>
        <w:rPr>
          <w:sz w:val="24"/>
          <w:szCs w:val="24"/>
          <w:lang w:val="fr-BE"/>
        </w:rPr>
      </w:pPr>
      <w:r w:rsidRPr="00442051">
        <w:rPr>
          <w:sz w:val="24"/>
          <w:szCs w:val="24"/>
          <w:lang w:val="fr-BE"/>
        </w:rPr>
        <w:t>L’accroissement des approvisionnements en biens de consommation durables  est en liaison avec l’augmentation aussi bien des importations des textiles (19.548,5 contre 14.075,2 MBIF) que des autres biens durables (38.057,9 contre 30.249,5 MBIF) tandis que celui des approvisionnements en biens de consommation non durables est imputable aux produits alimentaires (61.471,8 contre 27.208,1 MBIF).</w:t>
      </w:r>
    </w:p>
    <w:p w:rsidR="003A5904" w:rsidRDefault="0096134B" w:rsidP="003A5904">
      <w:pPr>
        <w:spacing w:after="120"/>
        <w:jc w:val="both"/>
        <w:rPr>
          <w:sz w:val="24"/>
          <w:szCs w:val="24"/>
        </w:rPr>
      </w:pPr>
      <w:r w:rsidRPr="00442051">
        <w:rPr>
          <w:sz w:val="24"/>
          <w:szCs w:val="24"/>
        </w:rPr>
        <w:t xml:space="preserve">Par rapport au mois d’avril 2013, les mises en consommations du mois de mai 2013 se </w:t>
      </w:r>
      <w:r w:rsidRPr="00442051">
        <w:rPr>
          <w:sz w:val="24"/>
          <w:szCs w:val="24"/>
        </w:rPr>
        <w:lastRenderedPageBreak/>
        <w:t>sont inscrites en baisse aussi bien en volume qu’en valeur, revenant respectivement de 59.342 à 55.502 T et de 112.122,6 à 103.053,7 MBIF.</w:t>
      </w:r>
      <w:bookmarkStart w:id="35" w:name="_Toc362356426"/>
    </w:p>
    <w:p w:rsidR="0096134B" w:rsidRPr="003A2458" w:rsidRDefault="0096134B" w:rsidP="003A2458">
      <w:pPr>
        <w:pStyle w:val="Titre1"/>
        <w:spacing w:after="120"/>
        <w:rPr>
          <w:rFonts w:asciiTheme="minorHAnsi" w:hAnsiTheme="minorHAnsi"/>
          <w:b w:val="0"/>
          <w:color w:val="0070C0"/>
          <w:sz w:val="24"/>
          <w:szCs w:val="24"/>
        </w:rPr>
      </w:pPr>
      <w:bookmarkStart w:id="36" w:name="_Toc362444393"/>
      <w:r w:rsidRPr="003A2458">
        <w:rPr>
          <w:rFonts w:asciiTheme="minorHAnsi" w:hAnsiTheme="minorHAnsi"/>
          <w:color w:val="0070C0"/>
          <w:sz w:val="24"/>
          <w:szCs w:val="24"/>
        </w:rPr>
        <w:t>VII. TAUX DE CHANGE</w:t>
      </w:r>
      <w:bookmarkEnd w:id="35"/>
      <w:bookmarkEnd w:id="36"/>
    </w:p>
    <w:p w:rsidR="00D3466B" w:rsidRDefault="0096134B" w:rsidP="008F34F5">
      <w:pPr>
        <w:spacing w:after="120"/>
        <w:ind w:right="-23"/>
        <w:jc w:val="both"/>
        <w:rPr>
          <w:sz w:val="24"/>
          <w:szCs w:val="24"/>
          <w:lang w:val="fr-BE"/>
        </w:rPr>
      </w:pPr>
      <w:r w:rsidRPr="00442051">
        <w:rPr>
          <w:sz w:val="24"/>
          <w:szCs w:val="24"/>
          <w:lang w:val="fr-BE"/>
        </w:rPr>
        <w:t xml:space="preserve">Le taux de change moyen de mai 2013 s’est établi à 1.546,82 BIF contre 1.402,94 BIF enregistré au même mois de l’année précédente pour un dollar américain, soit une dépréciation de 10,3 p.c. </w:t>
      </w:r>
    </w:p>
    <w:p w:rsidR="008F34F5" w:rsidRDefault="0096134B" w:rsidP="008F34F5">
      <w:pPr>
        <w:spacing w:after="120"/>
        <w:ind w:right="-23"/>
        <w:jc w:val="both"/>
        <w:rPr>
          <w:sz w:val="24"/>
          <w:szCs w:val="24"/>
          <w:lang w:val="fr-BE"/>
        </w:rPr>
      </w:pPr>
      <w:r w:rsidRPr="00442051">
        <w:rPr>
          <w:sz w:val="24"/>
          <w:szCs w:val="24"/>
          <w:lang w:val="fr-BE"/>
        </w:rPr>
        <w:t>En revanche, le franc Burundi s’est légèrement apprécié de 1,1 p.c. par rapport au mois précédent, se fixant à 1.546,82 contre 1.563,66 BIF par rapport à la même devise.</w:t>
      </w:r>
    </w:p>
    <w:p w:rsidR="0096134B" w:rsidRPr="00442051" w:rsidRDefault="0096134B" w:rsidP="008F34F5">
      <w:pPr>
        <w:spacing w:after="120"/>
        <w:ind w:right="-23"/>
        <w:jc w:val="both"/>
        <w:rPr>
          <w:sz w:val="24"/>
          <w:szCs w:val="24"/>
          <w:lang w:val="fr-BE"/>
        </w:rPr>
      </w:pPr>
      <w:r w:rsidRPr="00442051">
        <w:rPr>
          <w:sz w:val="24"/>
          <w:szCs w:val="24"/>
          <w:lang w:val="fr-BE"/>
        </w:rPr>
        <w:t xml:space="preserve">En fin de période, le franc Burundi s’est déprécié de 9,1 p.c. face au dollar américain, se fixant à 1.539,84 contre 1.411,86 BIF à fin mai 2012 au moment où il s’est apprécié de 1,0 p.c. par </w:t>
      </w:r>
      <w:r w:rsidR="001C1011">
        <w:rPr>
          <w:sz w:val="24"/>
          <w:szCs w:val="24"/>
          <w:lang w:val="fr-BE"/>
        </w:rPr>
        <w:t>rapport à fin avril 2013</w:t>
      </w:r>
      <w:r w:rsidR="0030512A">
        <w:rPr>
          <w:sz w:val="24"/>
          <w:szCs w:val="24"/>
          <w:lang w:val="fr-BE"/>
        </w:rPr>
        <w:t xml:space="preserve">, le taux de change ayant baissé de </w:t>
      </w:r>
      <w:r w:rsidRPr="00442051">
        <w:rPr>
          <w:sz w:val="24"/>
          <w:szCs w:val="24"/>
          <w:lang w:val="fr-BE"/>
        </w:rPr>
        <w:t xml:space="preserve">1.553,61 </w:t>
      </w:r>
      <w:r w:rsidR="00C3059F" w:rsidRPr="00442051">
        <w:rPr>
          <w:sz w:val="24"/>
          <w:szCs w:val="24"/>
          <w:lang w:val="fr-BE"/>
        </w:rPr>
        <w:t>contre</w:t>
      </w:r>
      <w:r w:rsidR="00C3059F">
        <w:rPr>
          <w:sz w:val="24"/>
          <w:szCs w:val="24"/>
          <w:lang w:val="fr-BE"/>
        </w:rPr>
        <w:t xml:space="preserve"> 1.539,</w:t>
      </w:r>
      <w:r w:rsidR="00C3059F" w:rsidRPr="00442051">
        <w:rPr>
          <w:sz w:val="24"/>
          <w:szCs w:val="24"/>
          <w:lang w:val="fr-BE"/>
        </w:rPr>
        <w:t xml:space="preserve">84 </w:t>
      </w:r>
      <w:r w:rsidRPr="00442051">
        <w:rPr>
          <w:sz w:val="24"/>
          <w:szCs w:val="24"/>
          <w:lang w:val="fr-BE"/>
        </w:rPr>
        <w:t>BIF.</w:t>
      </w:r>
    </w:p>
    <w:p w:rsidR="0096134B" w:rsidRPr="00442051" w:rsidRDefault="0096134B" w:rsidP="008F34F5">
      <w:pPr>
        <w:spacing w:after="120"/>
        <w:jc w:val="both"/>
        <w:rPr>
          <w:rFonts w:cs="Times New Roman"/>
          <w:sz w:val="24"/>
          <w:szCs w:val="24"/>
        </w:rPr>
      </w:pPr>
      <w:r w:rsidRPr="00442051">
        <w:rPr>
          <w:rFonts w:cs="Calibri"/>
          <w:sz w:val="24"/>
          <w:szCs w:val="24"/>
          <w:lang w:val="fr-BE"/>
        </w:rPr>
        <w:t xml:space="preserve">S’agissant du taux de change effectif nominal du mois de mai 2013, il s’est établit à  59,88 contre 64 ,81 </w:t>
      </w:r>
      <w:r w:rsidR="000D12EB">
        <w:rPr>
          <w:rFonts w:cs="Calibri"/>
          <w:sz w:val="24"/>
          <w:szCs w:val="24"/>
          <w:lang w:val="fr-BE"/>
        </w:rPr>
        <w:t>a</w:t>
      </w:r>
      <w:r w:rsidRPr="00442051">
        <w:rPr>
          <w:rFonts w:cs="Calibri"/>
          <w:sz w:val="24"/>
          <w:szCs w:val="24"/>
          <w:lang w:val="fr-BE"/>
        </w:rPr>
        <w:t xml:space="preserve">u mois correspondant de l’année précédente, soit une diminution de 7,6 p.c. </w:t>
      </w:r>
      <w:r w:rsidRPr="00442051">
        <w:rPr>
          <w:rFonts w:cs="Times New Roman"/>
          <w:sz w:val="24"/>
          <w:szCs w:val="24"/>
        </w:rPr>
        <w:t>en raison de l</w:t>
      </w:r>
      <w:r w:rsidRPr="00442051">
        <w:rPr>
          <w:sz w:val="24"/>
          <w:szCs w:val="24"/>
        </w:rPr>
        <w:t>a dépréciation</w:t>
      </w:r>
      <w:r w:rsidRPr="00442051">
        <w:rPr>
          <w:rFonts w:cs="Times New Roman"/>
          <w:sz w:val="24"/>
          <w:szCs w:val="24"/>
        </w:rPr>
        <w:t xml:space="preserve"> du franc </w:t>
      </w:r>
      <w:proofErr w:type="spellStart"/>
      <w:r w:rsidRPr="00442051">
        <w:rPr>
          <w:rFonts w:cs="Times New Roman"/>
          <w:sz w:val="24"/>
          <w:szCs w:val="24"/>
        </w:rPr>
        <w:t>burundi</w:t>
      </w:r>
      <w:proofErr w:type="spellEnd"/>
      <w:r w:rsidRPr="00442051">
        <w:rPr>
          <w:rFonts w:cs="Times New Roman"/>
          <w:sz w:val="24"/>
          <w:szCs w:val="24"/>
        </w:rPr>
        <w:t xml:space="preserve"> vis-à-vis de la </w:t>
      </w:r>
      <w:r w:rsidRPr="00442051">
        <w:rPr>
          <w:sz w:val="24"/>
          <w:szCs w:val="24"/>
        </w:rPr>
        <w:t>plupart</w:t>
      </w:r>
      <w:r w:rsidRPr="00442051">
        <w:rPr>
          <w:rFonts w:cs="Times New Roman"/>
          <w:sz w:val="24"/>
          <w:szCs w:val="24"/>
        </w:rPr>
        <w:t xml:space="preserve"> des monnaies des pays partenaires et/ou concurrents </w:t>
      </w:r>
      <w:proofErr w:type="spellStart"/>
      <w:r w:rsidRPr="00442051">
        <w:rPr>
          <w:rFonts w:cs="Times New Roman"/>
          <w:sz w:val="24"/>
          <w:szCs w:val="24"/>
        </w:rPr>
        <w:t>com</w:t>
      </w:r>
      <w:r w:rsidR="0030512A">
        <w:rPr>
          <w:rFonts w:cs="Times New Roman"/>
          <w:sz w:val="24"/>
          <w:szCs w:val="24"/>
        </w:rPr>
        <w:t>-</w:t>
      </w:r>
      <w:r w:rsidRPr="00442051">
        <w:rPr>
          <w:rFonts w:cs="Times New Roman"/>
          <w:sz w:val="24"/>
          <w:szCs w:val="24"/>
        </w:rPr>
        <w:t>merciaux</w:t>
      </w:r>
      <w:proofErr w:type="spellEnd"/>
      <w:r w:rsidRPr="00442051">
        <w:rPr>
          <w:rFonts w:cs="Times New Roman"/>
          <w:sz w:val="24"/>
          <w:szCs w:val="24"/>
        </w:rPr>
        <w:t>.</w:t>
      </w:r>
    </w:p>
    <w:p w:rsidR="007D5739" w:rsidRDefault="0096134B" w:rsidP="0096134B">
      <w:pPr>
        <w:jc w:val="both"/>
        <w:rPr>
          <w:rFonts w:cs="Times New Roman"/>
          <w:sz w:val="24"/>
          <w:szCs w:val="24"/>
        </w:rPr>
        <w:sectPr w:rsidR="007D5739" w:rsidSect="00702191">
          <w:headerReference w:type="default" r:id="rId13"/>
          <w:pgSz w:w="11906" w:h="16838"/>
          <w:pgMar w:top="1276" w:right="1274" w:bottom="1417" w:left="1417" w:header="708" w:footer="708" w:gutter="0"/>
          <w:pgNumType w:start="1"/>
          <w:cols w:num="2" w:space="708"/>
          <w:docGrid w:linePitch="360"/>
        </w:sectPr>
      </w:pPr>
      <w:r w:rsidRPr="00442051">
        <w:rPr>
          <w:rFonts w:cs="Times New Roman"/>
          <w:sz w:val="24"/>
          <w:szCs w:val="24"/>
        </w:rPr>
        <w:t xml:space="preserve">De même, l’indice du </w:t>
      </w:r>
      <w:r w:rsidRPr="00442051">
        <w:rPr>
          <w:sz w:val="24"/>
          <w:szCs w:val="24"/>
        </w:rPr>
        <w:t xml:space="preserve">taux de change effectif réel a baissé </w:t>
      </w:r>
      <w:r w:rsidRPr="00442051">
        <w:rPr>
          <w:rFonts w:cs="Times New Roman"/>
          <w:sz w:val="24"/>
          <w:szCs w:val="24"/>
        </w:rPr>
        <w:t xml:space="preserve">de 4,4 p.c. </w:t>
      </w:r>
      <w:r w:rsidRPr="00442051">
        <w:rPr>
          <w:sz w:val="24"/>
          <w:szCs w:val="24"/>
        </w:rPr>
        <w:t>reven</w:t>
      </w:r>
      <w:r w:rsidRPr="00442051">
        <w:rPr>
          <w:rFonts w:cs="Times New Roman"/>
          <w:sz w:val="24"/>
          <w:szCs w:val="24"/>
        </w:rPr>
        <w:t xml:space="preserve">ant de </w:t>
      </w:r>
      <w:r w:rsidRPr="00442051">
        <w:rPr>
          <w:sz w:val="24"/>
          <w:szCs w:val="24"/>
        </w:rPr>
        <w:t>107,58</w:t>
      </w:r>
      <w:r w:rsidRPr="00442051">
        <w:rPr>
          <w:rFonts w:cs="Times New Roman"/>
          <w:sz w:val="24"/>
          <w:szCs w:val="24"/>
        </w:rPr>
        <w:t xml:space="preserve"> à 102</w:t>
      </w:r>
      <w:r w:rsidRPr="00442051">
        <w:rPr>
          <w:sz w:val="24"/>
          <w:szCs w:val="24"/>
        </w:rPr>
        <w:t>,83</w:t>
      </w:r>
      <w:r w:rsidRPr="00442051">
        <w:rPr>
          <w:rFonts w:cs="Times New Roman"/>
          <w:sz w:val="24"/>
          <w:szCs w:val="24"/>
        </w:rPr>
        <w:t xml:space="preserve"> </w:t>
      </w:r>
      <w:r w:rsidRPr="00442051">
        <w:rPr>
          <w:sz w:val="24"/>
          <w:szCs w:val="24"/>
        </w:rPr>
        <w:t>suite à</w:t>
      </w:r>
      <w:r w:rsidRPr="00442051">
        <w:rPr>
          <w:rFonts w:cs="Times New Roman"/>
          <w:sz w:val="24"/>
          <w:szCs w:val="24"/>
        </w:rPr>
        <w:t xml:space="preserve"> </w:t>
      </w:r>
      <w:r w:rsidRPr="00442051">
        <w:rPr>
          <w:sz w:val="24"/>
          <w:szCs w:val="24"/>
        </w:rPr>
        <w:t xml:space="preserve">la dépréciation </w:t>
      </w:r>
      <w:r w:rsidRPr="00442051">
        <w:rPr>
          <w:rFonts w:cs="Times New Roman"/>
          <w:sz w:val="24"/>
          <w:szCs w:val="24"/>
        </w:rPr>
        <w:t>du taux de change effectif nominal et à l’évolution plu</w:t>
      </w:r>
      <w:r w:rsidR="008F34F5">
        <w:rPr>
          <w:rFonts w:cs="Times New Roman"/>
          <w:sz w:val="24"/>
          <w:szCs w:val="24"/>
        </w:rPr>
        <w:t>s rapide des prix extérieurs (+</w:t>
      </w:r>
      <w:r w:rsidRPr="00442051">
        <w:rPr>
          <w:rFonts w:cs="Times New Roman"/>
          <w:sz w:val="24"/>
          <w:szCs w:val="24"/>
        </w:rPr>
        <w:t xml:space="preserve">9,0 p.c.) que celle des prix intérieurs </w:t>
      </w:r>
      <w:r w:rsidR="008F34F5">
        <w:rPr>
          <w:rFonts w:cs="Times New Roman"/>
          <w:sz w:val="24"/>
          <w:szCs w:val="24"/>
        </w:rPr>
        <w:t xml:space="preserve">    </w:t>
      </w:r>
      <w:r w:rsidRPr="00442051">
        <w:rPr>
          <w:rFonts w:cs="Times New Roman"/>
          <w:sz w:val="24"/>
          <w:szCs w:val="24"/>
        </w:rPr>
        <w:t>(+8,2p.c.).</w:t>
      </w:r>
    </w:p>
    <w:p w:rsidR="0096134B" w:rsidRPr="00230780" w:rsidRDefault="007D5739" w:rsidP="00E60ED1">
      <w:pPr>
        <w:pStyle w:val="Titre1"/>
        <w:rPr>
          <w:rFonts w:asciiTheme="minorHAnsi" w:hAnsiTheme="minorHAnsi" w:cs="Times New Roman"/>
          <w:color w:val="0070C0"/>
          <w:sz w:val="24"/>
          <w:szCs w:val="24"/>
        </w:rPr>
      </w:pPr>
      <w:bookmarkStart w:id="37" w:name="_Toc362356427"/>
      <w:bookmarkStart w:id="38" w:name="_Toc362444394"/>
      <w:r w:rsidRPr="00230780">
        <w:rPr>
          <w:rFonts w:asciiTheme="minorHAnsi" w:hAnsiTheme="minorHAnsi" w:cs="Times New Roman"/>
          <w:color w:val="0070C0"/>
          <w:sz w:val="24"/>
          <w:szCs w:val="24"/>
        </w:rPr>
        <w:lastRenderedPageBreak/>
        <w:t>ANNEXE 1 : PRINCIPAUX INDICATEURS MENSUELS</w:t>
      </w:r>
      <w:bookmarkEnd w:id="37"/>
      <w:bookmarkEnd w:id="38"/>
    </w:p>
    <w:p w:rsidR="007D5739" w:rsidRPr="00442051" w:rsidRDefault="00217B78" w:rsidP="0096134B">
      <w:pPr>
        <w:jc w:val="both"/>
        <w:rPr>
          <w:rFonts w:cs="Times New Roman"/>
          <w:sz w:val="24"/>
          <w:szCs w:val="24"/>
        </w:rPr>
      </w:pPr>
      <w:r w:rsidRPr="00B35FDF">
        <w:rPr>
          <w:rFonts w:cs="Times New Roman"/>
          <w:sz w:val="24"/>
          <w:szCs w:val="24"/>
        </w:rPr>
        <w:object w:dxaOrig="16349" w:dyaOrig="17423">
          <v:shape id="_x0000_i1027" type="#_x0000_t75" style="width:454.8pt;height:628.8pt" o:ole="">
            <v:imagedata r:id="rId14" o:title=""/>
          </v:shape>
          <o:OLEObject Type="Embed" ProgID="Excel.Sheet.8" ShapeID="_x0000_i1027" DrawAspect="Content" ObjectID="_1436942104" r:id="rId15"/>
        </w:object>
      </w:r>
    </w:p>
    <w:p w:rsidR="007D5739" w:rsidRPr="00230780" w:rsidRDefault="007D5739" w:rsidP="00E60ED1">
      <w:pPr>
        <w:pStyle w:val="Titre1"/>
        <w:rPr>
          <w:rFonts w:asciiTheme="minorHAnsi" w:hAnsiTheme="minorHAnsi" w:cs="Times New Roman"/>
          <w:color w:val="0070C0"/>
          <w:sz w:val="24"/>
          <w:szCs w:val="24"/>
        </w:rPr>
      </w:pPr>
      <w:bookmarkStart w:id="39" w:name="_Toc362356428"/>
      <w:bookmarkStart w:id="40" w:name="_Toc362444395"/>
      <w:r w:rsidRPr="00230780">
        <w:rPr>
          <w:rFonts w:asciiTheme="minorHAnsi" w:hAnsiTheme="minorHAnsi" w:cs="Times New Roman"/>
          <w:color w:val="0070C0"/>
          <w:sz w:val="24"/>
          <w:szCs w:val="24"/>
        </w:rPr>
        <w:lastRenderedPageBreak/>
        <w:t>ANNEXE 2 : PRINCIPAUX INDICATEURS ANNUELS</w:t>
      </w:r>
      <w:bookmarkEnd w:id="39"/>
      <w:bookmarkEnd w:id="40"/>
    </w:p>
    <w:p w:rsidR="00FF56F6" w:rsidRPr="00442051" w:rsidRDefault="00217B78" w:rsidP="00742B2D">
      <w:pPr>
        <w:jc w:val="both"/>
        <w:rPr>
          <w:rFonts w:cs="Times New Roman"/>
          <w:sz w:val="24"/>
          <w:szCs w:val="24"/>
        </w:rPr>
      </w:pPr>
      <w:r w:rsidRPr="00474962">
        <w:rPr>
          <w:rFonts w:cs="Times New Roman"/>
          <w:b/>
          <w:color w:val="0070C0"/>
          <w:sz w:val="24"/>
          <w:szCs w:val="24"/>
        </w:rPr>
        <w:object w:dxaOrig="13555" w:dyaOrig="13240">
          <v:shape id="_x0000_i1028" type="#_x0000_t75" style="width:461.4pt;height:666.6pt" o:ole="">
            <v:imagedata r:id="rId16" o:title=""/>
          </v:shape>
          <o:OLEObject Type="Embed" ProgID="Excel.Sheet.12" ShapeID="_x0000_i1028" DrawAspect="Content" ObjectID="_1436942105" r:id="rId17"/>
        </w:object>
      </w:r>
    </w:p>
    <w:sectPr w:rsidR="00FF56F6" w:rsidRPr="00442051" w:rsidSect="007D57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15" w:rsidRDefault="00512B15" w:rsidP="00943B52">
      <w:pPr>
        <w:spacing w:after="0" w:line="240" w:lineRule="auto"/>
      </w:pPr>
      <w:r>
        <w:separator/>
      </w:r>
    </w:p>
  </w:endnote>
  <w:endnote w:type="continuationSeparator" w:id="0">
    <w:p w:rsidR="00512B15" w:rsidRDefault="00512B15" w:rsidP="00943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15" w:rsidRDefault="00512B15" w:rsidP="00943B52">
      <w:pPr>
        <w:spacing w:after="0" w:line="240" w:lineRule="auto"/>
      </w:pPr>
      <w:r>
        <w:separator/>
      </w:r>
    </w:p>
  </w:footnote>
  <w:footnote w:type="continuationSeparator" w:id="0">
    <w:p w:rsidR="00512B15" w:rsidRDefault="00512B15" w:rsidP="00943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52" w:rsidRDefault="00943B52">
    <w:pPr>
      <w:pStyle w:val="En-tte"/>
      <w:jc w:val="center"/>
    </w:pPr>
  </w:p>
  <w:p w:rsidR="00943B52" w:rsidRDefault="00943B5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5762"/>
      <w:docPartObj>
        <w:docPartGallery w:val="Page Numbers (Top of Page)"/>
        <w:docPartUnique/>
      </w:docPartObj>
    </w:sdtPr>
    <w:sdtContent>
      <w:p w:rsidR="008F34F5" w:rsidRDefault="00B35FDF">
        <w:pPr>
          <w:pStyle w:val="En-tte"/>
          <w:jc w:val="right"/>
        </w:pPr>
        <w:fldSimple w:instr=" PAGE   \* MERGEFORMAT ">
          <w:r w:rsidR="00060B26">
            <w:rPr>
              <w:noProof/>
            </w:rPr>
            <w:t>7</w:t>
          </w:r>
        </w:fldSimple>
      </w:p>
    </w:sdtContent>
  </w:sdt>
  <w:p w:rsidR="008F34F5" w:rsidRDefault="008F34F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40BA"/>
    <w:multiLevelType w:val="hybridMultilevel"/>
    <w:tmpl w:val="C98A5226"/>
    <w:lvl w:ilvl="0" w:tplc="C6728820">
      <w:start w:val="2"/>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2C3B"/>
    <w:rsid w:val="00060B26"/>
    <w:rsid w:val="00086565"/>
    <w:rsid w:val="000D12EB"/>
    <w:rsid w:val="00140D69"/>
    <w:rsid w:val="00183342"/>
    <w:rsid w:val="001A0F19"/>
    <w:rsid w:val="001C1011"/>
    <w:rsid w:val="00217B78"/>
    <w:rsid w:val="00230780"/>
    <w:rsid w:val="002647DC"/>
    <w:rsid w:val="002E040D"/>
    <w:rsid w:val="0030512A"/>
    <w:rsid w:val="00305294"/>
    <w:rsid w:val="0031007E"/>
    <w:rsid w:val="00324211"/>
    <w:rsid w:val="0032516D"/>
    <w:rsid w:val="003A2458"/>
    <w:rsid w:val="003A5904"/>
    <w:rsid w:val="003B3295"/>
    <w:rsid w:val="003C33AF"/>
    <w:rsid w:val="003D54FA"/>
    <w:rsid w:val="003E4AD4"/>
    <w:rsid w:val="00440E2C"/>
    <w:rsid w:val="00442051"/>
    <w:rsid w:val="00474962"/>
    <w:rsid w:val="00487B57"/>
    <w:rsid w:val="004F5A83"/>
    <w:rsid w:val="00512B15"/>
    <w:rsid w:val="005163BC"/>
    <w:rsid w:val="005565F2"/>
    <w:rsid w:val="00582C2F"/>
    <w:rsid w:val="005C10F6"/>
    <w:rsid w:val="005C3D04"/>
    <w:rsid w:val="005D6BC1"/>
    <w:rsid w:val="005F43D7"/>
    <w:rsid w:val="006E28EC"/>
    <w:rsid w:val="006E7CB7"/>
    <w:rsid w:val="00700195"/>
    <w:rsid w:val="00702191"/>
    <w:rsid w:val="00742B2D"/>
    <w:rsid w:val="007A2CDD"/>
    <w:rsid w:val="007B0307"/>
    <w:rsid w:val="007B1C76"/>
    <w:rsid w:val="007C73DC"/>
    <w:rsid w:val="007D5739"/>
    <w:rsid w:val="00824B2C"/>
    <w:rsid w:val="00853EF1"/>
    <w:rsid w:val="00875565"/>
    <w:rsid w:val="008F34F5"/>
    <w:rsid w:val="008F4C88"/>
    <w:rsid w:val="00936D9E"/>
    <w:rsid w:val="00943B52"/>
    <w:rsid w:val="00960FD4"/>
    <w:rsid w:val="0096134B"/>
    <w:rsid w:val="00965DA2"/>
    <w:rsid w:val="00A44709"/>
    <w:rsid w:val="00AA0406"/>
    <w:rsid w:val="00AA1FB9"/>
    <w:rsid w:val="00B35FDF"/>
    <w:rsid w:val="00B63D08"/>
    <w:rsid w:val="00BC032B"/>
    <w:rsid w:val="00BD291B"/>
    <w:rsid w:val="00BD3700"/>
    <w:rsid w:val="00BE0247"/>
    <w:rsid w:val="00C3059F"/>
    <w:rsid w:val="00C4004F"/>
    <w:rsid w:val="00C761B8"/>
    <w:rsid w:val="00CD47BE"/>
    <w:rsid w:val="00D0060C"/>
    <w:rsid w:val="00D21EA3"/>
    <w:rsid w:val="00D31EFD"/>
    <w:rsid w:val="00D3466B"/>
    <w:rsid w:val="00D54156"/>
    <w:rsid w:val="00D75A9E"/>
    <w:rsid w:val="00DA1306"/>
    <w:rsid w:val="00DC5BD6"/>
    <w:rsid w:val="00E001A7"/>
    <w:rsid w:val="00E5314B"/>
    <w:rsid w:val="00E60ED1"/>
    <w:rsid w:val="00E71562"/>
    <w:rsid w:val="00EB4551"/>
    <w:rsid w:val="00EF58EE"/>
    <w:rsid w:val="00F05BDB"/>
    <w:rsid w:val="00F12C3B"/>
    <w:rsid w:val="00F555FD"/>
    <w:rsid w:val="00F65F25"/>
    <w:rsid w:val="00FF4CCD"/>
    <w:rsid w:val="00FF56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EE"/>
  </w:style>
  <w:style w:type="paragraph" w:styleId="Titre1">
    <w:name w:val="heading 1"/>
    <w:basedOn w:val="Normal"/>
    <w:next w:val="Normal"/>
    <w:link w:val="Titre1Car"/>
    <w:uiPriority w:val="9"/>
    <w:qFormat/>
    <w:rsid w:val="00E60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60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60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B52"/>
    <w:pPr>
      <w:tabs>
        <w:tab w:val="center" w:pos="4536"/>
        <w:tab w:val="right" w:pos="9072"/>
      </w:tabs>
      <w:spacing w:after="0" w:line="240" w:lineRule="auto"/>
    </w:pPr>
  </w:style>
  <w:style w:type="character" w:customStyle="1" w:styleId="En-tteCar">
    <w:name w:val="En-tête Car"/>
    <w:basedOn w:val="Policepardfaut"/>
    <w:link w:val="En-tte"/>
    <w:uiPriority w:val="99"/>
    <w:rsid w:val="00943B52"/>
  </w:style>
  <w:style w:type="paragraph" w:styleId="Pieddepage">
    <w:name w:val="footer"/>
    <w:basedOn w:val="Normal"/>
    <w:link w:val="PieddepageCar"/>
    <w:uiPriority w:val="99"/>
    <w:semiHidden/>
    <w:unhideWhenUsed/>
    <w:rsid w:val="00943B5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43B52"/>
  </w:style>
  <w:style w:type="character" w:customStyle="1" w:styleId="Titre1Car">
    <w:name w:val="Titre 1 Car"/>
    <w:basedOn w:val="Policepardfaut"/>
    <w:link w:val="Titre1"/>
    <w:uiPriority w:val="9"/>
    <w:rsid w:val="00E60ED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60ED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60ED1"/>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D0060C"/>
    <w:pPr>
      <w:tabs>
        <w:tab w:val="right" w:leader="dot" w:pos="9062"/>
      </w:tabs>
      <w:spacing w:after="100"/>
    </w:pPr>
    <w:rPr>
      <w:rFonts w:cs="Calibri"/>
      <w:b/>
      <w:noProof/>
    </w:rPr>
  </w:style>
  <w:style w:type="paragraph" w:styleId="TM2">
    <w:name w:val="toc 2"/>
    <w:basedOn w:val="Normal"/>
    <w:next w:val="Normal"/>
    <w:autoRedefine/>
    <w:uiPriority w:val="39"/>
    <w:unhideWhenUsed/>
    <w:rsid w:val="00E60ED1"/>
    <w:pPr>
      <w:spacing w:after="100"/>
      <w:ind w:left="220"/>
    </w:pPr>
  </w:style>
  <w:style w:type="paragraph" w:styleId="TM3">
    <w:name w:val="toc 3"/>
    <w:basedOn w:val="Normal"/>
    <w:next w:val="Normal"/>
    <w:autoRedefine/>
    <w:uiPriority w:val="39"/>
    <w:unhideWhenUsed/>
    <w:rsid w:val="00E60ED1"/>
    <w:pPr>
      <w:spacing w:after="100"/>
      <w:ind w:left="440"/>
    </w:pPr>
  </w:style>
  <w:style w:type="character" w:styleId="Lienhypertexte">
    <w:name w:val="Hyperlink"/>
    <w:basedOn w:val="Policepardfaut"/>
    <w:uiPriority w:val="99"/>
    <w:unhideWhenUsed/>
    <w:rsid w:val="00E60ED1"/>
    <w:rPr>
      <w:color w:val="0000FF" w:themeColor="hyperlink"/>
      <w:u w:val="single"/>
    </w:rPr>
  </w:style>
  <w:style w:type="paragraph" w:styleId="En-ttedetabledesmatires">
    <w:name w:val="TOC Heading"/>
    <w:basedOn w:val="Titre1"/>
    <w:next w:val="Normal"/>
    <w:uiPriority w:val="39"/>
    <w:unhideWhenUsed/>
    <w:qFormat/>
    <w:rsid w:val="00E60ED1"/>
    <w:pPr>
      <w:outlineLvl w:val="9"/>
    </w:pPr>
  </w:style>
  <w:style w:type="paragraph" w:styleId="Textedebulles">
    <w:name w:val="Balloon Text"/>
    <w:basedOn w:val="Normal"/>
    <w:link w:val="TextedebullesCar"/>
    <w:uiPriority w:val="99"/>
    <w:semiHidden/>
    <w:unhideWhenUsed/>
    <w:rsid w:val="00E60E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0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Feuille_Microsoft_Office_Excel_97-20031.xls"/><Relationship Id="rId17" Type="http://schemas.openxmlformats.org/officeDocument/2006/relationships/package" Target="embeddings/Feuille_Microsoft_Office_Excel1.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Feuille_Microsoft_Office_Excel_97-20032.xls"/><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b@brb.bi" TargetMode="Externa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1B4E-1A70-4A69-B91B-3222E945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2446</Words>
  <Characters>13459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KAIM</cp:lastModifiedBy>
  <cp:revision>9</cp:revision>
  <cp:lastPrinted>2013-08-02T07:46:00Z</cp:lastPrinted>
  <dcterms:created xsi:type="dcterms:W3CDTF">2013-07-26T08:42:00Z</dcterms:created>
  <dcterms:modified xsi:type="dcterms:W3CDTF">2013-08-02T07:49:00Z</dcterms:modified>
</cp:coreProperties>
</file>