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Default Extension="emf" ContentType="image/x-emf"/>
  <Default Extension="xls" ContentType="application/vnd.ms-exce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A3C" w:rsidRDefault="008E0A3C" w:rsidP="008E0A3C">
      <w:pPr>
        <w:jc w:val="center"/>
        <w:rPr>
          <w:noProof/>
        </w:rPr>
      </w:pPr>
      <w:bookmarkStart w:id="0" w:name="OLE_LINK1"/>
      <w:r>
        <w:rPr>
          <w:noProof/>
          <w:lang w:eastAsia="fr-FR"/>
        </w:rPr>
        <w:drawing>
          <wp:inline distT="0" distB="0" distL="0" distR="0">
            <wp:extent cx="1229360" cy="1107440"/>
            <wp:effectExtent l="19050" t="0" r="8890" b="0"/>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cstate="print"/>
                    <a:srcRect/>
                    <a:stretch>
                      <a:fillRect/>
                    </a:stretch>
                  </pic:blipFill>
                  <pic:spPr bwMode="auto">
                    <a:xfrm>
                      <a:off x="0" y="0"/>
                      <a:ext cx="1229360" cy="1107440"/>
                    </a:xfrm>
                    <a:prstGeom prst="rect">
                      <a:avLst/>
                    </a:prstGeom>
                    <a:noFill/>
                    <a:ln w="9525">
                      <a:noFill/>
                      <a:miter lim="800000"/>
                      <a:headEnd/>
                      <a:tailEnd/>
                    </a:ln>
                  </pic:spPr>
                </pic:pic>
              </a:graphicData>
            </a:graphic>
          </wp:inline>
        </w:drawing>
      </w:r>
    </w:p>
    <w:p w:rsidR="008E0A3C" w:rsidRPr="001B02C4" w:rsidRDefault="008E0A3C" w:rsidP="008E0A3C">
      <w:pPr>
        <w:jc w:val="center"/>
        <w:rPr>
          <w:color w:val="0000FF"/>
        </w:rPr>
      </w:pPr>
    </w:p>
    <w:p w:rsidR="008E0A3C" w:rsidRPr="000C46CA" w:rsidRDefault="008E0A3C" w:rsidP="008E0A3C">
      <w:pPr>
        <w:jc w:val="center"/>
        <w:rPr>
          <w:rFonts w:ascii="Arial Narrow" w:hAnsi="Arial Narrow" w:cs="Arial Narrow"/>
          <w:b/>
          <w:bCs/>
          <w:shadow/>
          <w:noProof/>
          <w:sz w:val="40"/>
          <w:szCs w:val="40"/>
        </w:rPr>
      </w:pPr>
      <w:r w:rsidRPr="000C46CA">
        <w:rPr>
          <w:rFonts w:ascii="Arial Narrow" w:hAnsi="Arial Narrow" w:cs="Arial Narrow"/>
          <w:b/>
          <w:bCs/>
          <w:shadow/>
          <w:noProof/>
          <w:sz w:val="40"/>
          <w:szCs w:val="40"/>
        </w:rPr>
        <w:t>BANQUE DE LA REPUBLIQUE DU BURUNDI</w:t>
      </w:r>
    </w:p>
    <w:p w:rsidR="008E0A3C" w:rsidRDefault="008E0A3C" w:rsidP="008E0A3C">
      <w:pPr>
        <w:jc w:val="center"/>
        <w:rPr>
          <w:rFonts w:ascii="Arial Narrow" w:hAnsi="Arial Narrow" w:cs="Arial Narrow"/>
          <w:b/>
          <w:bCs/>
          <w:shadow/>
          <w:noProof/>
          <w:sz w:val="40"/>
          <w:szCs w:val="40"/>
        </w:rPr>
      </w:pPr>
      <w:r w:rsidRPr="000C46CA">
        <w:rPr>
          <w:rFonts w:ascii="Arial Narrow" w:hAnsi="Arial Narrow" w:cs="Arial Narrow"/>
          <w:b/>
          <w:bCs/>
          <w:shadow/>
          <w:noProof/>
          <w:sz w:val="40"/>
          <w:szCs w:val="40"/>
        </w:rPr>
        <w:t>SERVICE ETUDES</w:t>
      </w:r>
      <w:r>
        <w:rPr>
          <w:rFonts w:ascii="Arial Narrow" w:hAnsi="Arial Narrow" w:cs="Arial Narrow"/>
          <w:b/>
          <w:bCs/>
          <w:shadow/>
          <w:noProof/>
          <w:sz w:val="40"/>
          <w:szCs w:val="40"/>
        </w:rPr>
        <w:t xml:space="preserve"> ET STATISTIQUES</w:t>
      </w:r>
    </w:p>
    <w:p w:rsidR="008E0A3C" w:rsidRPr="000C46CA" w:rsidRDefault="008E0A3C" w:rsidP="008E0A3C">
      <w:pPr>
        <w:jc w:val="center"/>
        <w:rPr>
          <w:rFonts w:ascii="Arial Narrow" w:hAnsi="Arial Narrow" w:cs="Arial Narrow"/>
          <w:b/>
          <w:bCs/>
          <w:shadow/>
          <w:noProof/>
          <w:sz w:val="40"/>
          <w:szCs w:val="40"/>
        </w:rPr>
      </w:pPr>
    </w:p>
    <w:p w:rsidR="008E0A3C" w:rsidRPr="001B02C4" w:rsidRDefault="00BD6151" w:rsidP="008E0A3C">
      <w:pPr>
        <w:jc w:val="center"/>
        <w:rPr>
          <w:color w:val="0000FF"/>
          <w:sz w:val="36"/>
          <w:szCs w:val="36"/>
        </w:rPr>
      </w:pPr>
      <w:r>
        <w:rPr>
          <w:color w:val="0000FF"/>
          <w:sz w:val="36"/>
          <w:szCs w:val="36"/>
        </w:rPr>
      </w:r>
      <w:r>
        <w:rPr>
          <w:color w:val="0000FF"/>
          <w:sz w:val="36"/>
          <w:szCs w:val="36"/>
        </w:rPr>
        <w:pict>
          <v:group id="_x0000_s1029" editas="canvas" style="width:306pt;height:126pt;mso-position-horizontal-relative:char;mso-position-vertical-relative:line" coordorigin="4061,6971" coordsize="4896,201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4061;top:6971;width:4896;height:2016" o:preferrelative="f">
              <v:fill o:detectmouseclick="t"/>
              <v:path o:extrusionok="t" o:connecttype="none"/>
              <o:lock v:ext="edit" text="t"/>
            </v:shape>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31" type="#_x0000_t80" style="position:absolute;left:4349;top:7115;width:4320;height:1728" fillcolor="silver">
              <v:textbox style="mso-next-textbox:#_x0000_s1031">
                <w:txbxContent>
                  <w:p w:rsidR="003F1408" w:rsidRPr="00985730" w:rsidRDefault="003F1408" w:rsidP="008E0A3C">
                    <w:pPr>
                      <w:shd w:val="clear" w:color="auto" w:fill="C0C0C0"/>
                      <w:jc w:val="center"/>
                      <w:rPr>
                        <w:rFonts w:ascii="Arial Narrow" w:hAnsi="Arial Narrow" w:cs="Arial Narrow"/>
                        <w:b/>
                        <w:bCs/>
                        <w:color w:val="0000FF"/>
                        <w:sz w:val="52"/>
                        <w:szCs w:val="52"/>
                        <w:lang w:val="fr-BE"/>
                      </w:rPr>
                    </w:pPr>
                    <w:r w:rsidRPr="00985730">
                      <w:rPr>
                        <w:rFonts w:ascii="Arial Narrow" w:hAnsi="Arial Narrow" w:cs="Arial Narrow"/>
                        <w:b/>
                        <w:bCs/>
                        <w:color w:val="0000FF"/>
                        <w:sz w:val="52"/>
                        <w:szCs w:val="52"/>
                        <w:lang w:val="fr-BE"/>
                      </w:rPr>
                      <w:t>INDICATEURS DE CONJONCTURE</w:t>
                    </w:r>
                  </w:p>
                  <w:p w:rsidR="003F1408" w:rsidRDefault="003F1408" w:rsidP="008E0A3C">
                    <w:pPr>
                      <w:jc w:val="center"/>
                    </w:pPr>
                  </w:p>
                </w:txbxContent>
              </v:textbox>
            </v:shape>
            <w10:wrap type="none"/>
            <w10:anchorlock/>
          </v:group>
        </w:pict>
      </w:r>
    </w:p>
    <w:bookmarkEnd w:id="0"/>
    <w:p w:rsidR="008E0A3C" w:rsidRPr="001B02C4" w:rsidRDefault="008E0A3C" w:rsidP="008E0A3C">
      <w:pPr>
        <w:pStyle w:val="Titre2"/>
        <w:rPr>
          <w:b w:val="0"/>
          <w:bCs w:val="0"/>
          <w:color w:val="0000FF"/>
          <w:sz w:val="24"/>
          <w:szCs w:val="24"/>
        </w:rPr>
      </w:pPr>
      <w:r w:rsidRPr="001B02C4">
        <w:t xml:space="preserve">     </w:t>
      </w:r>
    </w:p>
    <w:p w:rsidR="008E0A3C" w:rsidRDefault="008E0A3C" w:rsidP="008E0A3C">
      <w:pPr>
        <w:rPr>
          <w:color w:val="0000FF"/>
          <w:sz w:val="24"/>
          <w:szCs w:val="24"/>
        </w:rPr>
      </w:pPr>
    </w:p>
    <w:p w:rsidR="008E0A3C" w:rsidRPr="001B02C4" w:rsidRDefault="00BD6151" w:rsidP="008E0A3C">
      <w:pPr>
        <w:rPr>
          <w:color w:val="0000FF"/>
          <w:sz w:val="24"/>
          <w:szCs w:val="24"/>
        </w:rPr>
      </w:pPr>
      <w:r w:rsidRPr="00BD6151">
        <w:rPr>
          <w:noProof/>
          <w:sz w:val="20"/>
          <w:szCs w:val="20"/>
        </w:rPr>
        <w:pict>
          <v:shape id="computr3" o:spid="_x0000_s1033" style="position:absolute;margin-left:89.85pt;margin-top:-25.55pt;width:297pt;height:201.95pt;z-index:251661312" coordsize="21600,21600" o:spt="100" adj="-11796480,,5400" path="m18250,17743r-693,-772l5429,16971r-693,772l18250,17743xem18250,17743t1155,1388l18712,18360r-14438,l3581,19131r15824,xem19405,19131t1155,1389l19867,19749r-16748,l2426,20520r18134,xem20560,20520,4620,16971r693,-771l7624,16200r,-2006l5891,14194,5891,r6122,l18135,r,10800l18135,14194r-1733,l16402,16200r1386,l19059,17743r1963,2160l21253,20057r116,309l21600,20674r,155l21600,20983r,154l21600,21291r,l21484,21446r-115,l21138,21600r-116,l10973,21600r-8894,l1848,21600r-115,-154l1617,21446r-115,-155l1386,21291r,-154l1386,20983r,-154l1502,20674r115,-308l1733,20057r231,-154l,19903,,10800,,2777r4620,l4620,16971t,m4620,16971r-462,463l2541,19286r-577,617l4620,16971xem7624,2314t8778,l16402,11880r-8778,l7624,2314xem578,4011t3465,l4043,4320r-3465,l578,4011xm7624,14194r8778,l16402,16200r-8778,e" fillcolor="#cff">
            <v:stroke joinstyle="miter"/>
            <v:formulas/>
            <v:path o:extrusionok="f" o:connecttype="custom" o:connectlocs="0,10800;10800,0;10800,21600;18135,10800" textboxrect="7811,2584,16359,11764"/>
            <o:lock v:ext="edit" verticies="t"/>
            <v:textbox style="mso-next-textbox:#computr3">
              <w:txbxContent>
                <w:p w:rsidR="003F1408" w:rsidRPr="00985730" w:rsidRDefault="003F1408" w:rsidP="008E0A3C">
                  <w:pPr>
                    <w:jc w:val="center"/>
                    <w:rPr>
                      <w:b/>
                      <w:bCs/>
                      <w:i/>
                      <w:iCs/>
                      <w:color w:val="0000FF"/>
                      <w:sz w:val="24"/>
                      <w:szCs w:val="24"/>
                      <w:lang w:val="fr-BE"/>
                    </w:rPr>
                  </w:pPr>
                  <w:r w:rsidRPr="00985730">
                    <w:rPr>
                      <w:b/>
                      <w:bCs/>
                      <w:i/>
                      <w:iCs/>
                      <w:color w:val="0000FF"/>
                      <w:sz w:val="24"/>
                      <w:szCs w:val="24"/>
                      <w:lang w:val="fr-BE"/>
                    </w:rPr>
                    <w:t>Production, Finances Publiques, Monnaie et crédit, Commerce Extérieur,</w:t>
                  </w:r>
                  <w:r w:rsidRPr="005176E2">
                    <w:rPr>
                      <w:b/>
                      <w:bCs/>
                      <w:i/>
                      <w:iCs/>
                      <w:color w:val="0000FF"/>
                      <w:sz w:val="24"/>
                      <w:szCs w:val="24"/>
                      <w:lang w:val="fr-BE"/>
                    </w:rPr>
                    <w:t xml:space="preserve"> </w:t>
                  </w:r>
                  <w:r>
                    <w:rPr>
                      <w:b/>
                      <w:bCs/>
                      <w:i/>
                      <w:iCs/>
                      <w:color w:val="0000FF"/>
                      <w:sz w:val="24"/>
                      <w:szCs w:val="24"/>
                      <w:lang w:val="fr-BE"/>
                    </w:rPr>
                    <w:t xml:space="preserve">Indice des </w:t>
                  </w:r>
                  <w:r w:rsidRPr="00985730">
                    <w:rPr>
                      <w:b/>
                      <w:bCs/>
                      <w:i/>
                      <w:iCs/>
                      <w:color w:val="0000FF"/>
                      <w:sz w:val="24"/>
                      <w:szCs w:val="24"/>
                      <w:lang w:val="fr-BE"/>
                    </w:rPr>
                    <w:t>Prix, Taux de change</w:t>
                  </w:r>
                </w:p>
              </w:txbxContent>
            </v:textbox>
            <w10:wrap side="left"/>
            <w10:anchorlock/>
          </v:shape>
        </w:pict>
      </w:r>
    </w:p>
    <w:p w:rsidR="008E0A3C" w:rsidRPr="001B02C4" w:rsidRDefault="008E0A3C" w:rsidP="008E0A3C">
      <w:pPr>
        <w:rPr>
          <w:color w:val="0000FF"/>
          <w:sz w:val="24"/>
          <w:szCs w:val="24"/>
        </w:rPr>
      </w:pPr>
    </w:p>
    <w:p w:rsidR="008E0A3C" w:rsidRPr="001B02C4" w:rsidRDefault="008E0A3C" w:rsidP="008E0A3C">
      <w:pPr>
        <w:rPr>
          <w:color w:val="0000FF"/>
          <w:sz w:val="24"/>
          <w:szCs w:val="24"/>
        </w:rPr>
      </w:pPr>
    </w:p>
    <w:p w:rsidR="008E0A3C" w:rsidRDefault="008E0A3C" w:rsidP="008E0A3C">
      <w:pPr>
        <w:rPr>
          <w:color w:val="0000FF"/>
          <w:sz w:val="24"/>
          <w:szCs w:val="24"/>
        </w:rPr>
      </w:pPr>
    </w:p>
    <w:p w:rsidR="008E0A3C" w:rsidRDefault="008E0A3C" w:rsidP="008E0A3C">
      <w:pPr>
        <w:rPr>
          <w:color w:val="0000FF"/>
          <w:sz w:val="24"/>
          <w:szCs w:val="24"/>
        </w:rPr>
      </w:pPr>
    </w:p>
    <w:p w:rsidR="008E0A3C" w:rsidRDefault="008E0A3C" w:rsidP="008E0A3C">
      <w:pPr>
        <w:rPr>
          <w:color w:val="0000FF"/>
          <w:sz w:val="24"/>
          <w:szCs w:val="24"/>
        </w:rPr>
      </w:pPr>
    </w:p>
    <w:p w:rsidR="008E0A3C" w:rsidRPr="001B02C4" w:rsidRDefault="008E0A3C" w:rsidP="008E0A3C">
      <w:pPr>
        <w:rPr>
          <w:color w:val="0000FF"/>
          <w:sz w:val="24"/>
          <w:szCs w:val="24"/>
        </w:rPr>
      </w:pPr>
    </w:p>
    <w:p w:rsidR="008E0A3C" w:rsidRDefault="008E0A3C" w:rsidP="008E0A3C">
      <w:pPr>
        <w:rPr>
          <w:color w:val="0000FF"/>
          <w:sz w:val="24"/>
          <w:szCs w:val="24"/>
        </w:rPr>
      </w:pPr>
    </w:p>
    <w:p w:rsidR="008E0A3C" w:rsidRDefault="008E0A3C" w:rsidP="008E0A3C">
      <w:pPr>
        <w:rPr>
          <w:color w:val="0000FF"/>
          <w:sz w:val="24"/>
          <w:szCs w:val="24"/>
        </w:rPr>
      </w:pPr>
    </w:p>
    <w:p w:rsidR="008E0A3C" w:rsidRPr="00A2052C" w:rsidRDefault="00BD6151" w:rsidP="008E0A3C">
      <w:pPr>
        <w:jc w:val="center"/>
        <w:rPr>
          <w:rFonts w:ascii="Arial Narrow" w:hAnsi="Arial Narrow" w:cs="Arial Narrow"/>
          <w:b/>
          <w:bCs/>
          <w:sz w:val="40"/>
          <w:szCs w:val="40"/>
        </w:rPr>
        <w:sectPr w:rsidR="008E0A3C" w:rsidRPr="00A2052C" w:rsidSect="003F1408">
          <w:footerReference w:type="default" r:id="rId8"/>
          <w:footerReference w:type="first" r:id="rId9"/>
          <w:pgSz w:w="11906" w:h="16838"/>
          <w:pgMar w:top="1134" w:right="1418" w:bottom="1701" w:left="851" w:header="720" w:footer="0" w:gutter="567"/>
          <w:pgBorders w:display="firstPage" w:offsetFrom="page">
            <w:left w:val="thinThickSmallGap" w:sz="48" w:space="24" w:color="00CCFF"/>
            <w:right w:val="thickThinSmallGap" w:sz="48" w:space="24" w:color="00CCFF"/>
          </w:pgBorders>
          <w:cols w:space="720"/>
          <w:titlePg/>
        </w:sectPr>
      </w:pPr>
      <w:r>
        <w:rPr>
          <w:rFonts w:ascii="Arial Narrow" w:hAnsi="Arial Narrow" w:cs="Arial Narrow"/>
          <w:b/>
          <w:bCs/>
          <w:noProof/>
          <w:sz w:val="40"/>
          <w:szCs w:val="40"/>
          <w:lang w:eastAsia="fr-FR"/>
        </w:rPr>
        <w:pict>
          <v:shape id="desk1" o:spid="_x0000_s1035" style="position:absolute;left:0;text-align:left;margin-left:135.35pt;margin-top:-39.9pt;width:217.75pt;height:44.7pt;z-index:251662336" coordsize="21600,21600" o:spt="100" adj="-11796480,,5400" path="m,l21600,r,21600l,21600,,xe" fillcolor="silver">
            <v:stroke joinstyle="miter"/>
            <v:shadow on="t" offset="6pt,6pt"/>
            <v:formulas/>
            <v:path o:connecttype="custom" o:connectlocs="0,0;21600,0;21600,21600;0,21600;10800,0;21600,10800;10800,21600;0,10800" textboxrect="1000,1000,20600,20600"/>
            <o:lock v:ext="edit" verticies="t"/>
            <v:textbox style="mso-next-textbox:#desk1">
              <w:txbxContent>
                <w:p w:rsidR="003F1408" w:rsidRDefault="003F1408" w:rsidP="008E0A3C">
                  <w:pPr>
                    <w:jc w:val="center"/>
                    <w:rPr>
                      <w:sz w:val="44"/>
                      <w:szCs w:val="44"/>
                      <w:lang w:val="fr-BE"/>
                    </w:rPr>
                  </w:pPr>
                  <w:r>
                    <w:rPr>
                      <w:sz w:val="44"/>
                      <w:szCs w:val="44"/>
                      <w:lang w:val="fr-BE"/>
                    </w:rPr>
                    <w:t>AVRIL 2014</w:t>
                  </w:r>
                </w:p>
                <w:p w:rsidR="003F1408" w:rsidRDefault="003F1408" w:rsidP="008E0A3C">
                  <w:pPr>
                    <w:jc w:val="center"/>
                    <w:rPr>
                      <w:sz w:val="44"/>
                      <w:szCs w:val="44"/>
                      <w:lang w:val="fr-BE"/>
                    </w:rPr>
                  </w:pPr>
                </w:p>
                <w:p w:rsidR="003F1408" w:rsidRDefault="003F1408" w:rsidP="008E0A3C">
                  <w:pPr>
                    <w:jc w:val="center"/>
                    <w:rPr>
                      <w:sz w:val="44"/>
                      <w:szCs w:val="44"/>
                      <w:lang w:val="fr-BE"/>
                    </w:rPr>
                  </w:pPr>
                  <w:r>
                    <w:rPr>
                      <w:sz w:val="44"/>
                      <w:szCs w:val="44"/>
                      <w:lang w:val="fr-BE"/>
                    </w:rPr>
                    <w:t xml:space="preserve"> 2011</w:t>
                  </w:r>
                </w:p>
                <w:p w:rsidR="003F1408" w:rsidRDefault="003F1408" w:rsidP="008E0A3C">
                  <w:pPr>
                    <w:jc w:val="center"/>
                    <w:rPr>
                      <w:sz w:val="44"/>
                      <w:szCs w:val="44"/>
                      <w:lang w:val="fr-BE"/>
                    </w:rPr>
                  </w:pPr>
                  <w:r>
                    <w:rPr>
                      <w:sz w:val="44"/>
                      <w:szCs w:val="44"/>
                      <w:lang w:val="fr-BE"/>
                    </w:rPr>
                    <w:t>2011</w:t>
                  </w:r>
                </w:p>
                <w:p w:rsidR="003F1408" w:rsidRDefault="003F1408" w:rsidP="008E0A3C">
                  <w:pPr>
                    <w:jc w:val="center"/>
                    <w:rPr>
                      <w:sz w:val="44"/>
                      <w:szCs w:val="44"/>
                      <w:lang w:val="fr-BE"/>
                    </w:rPr>
                  </w:pPr>
                  <w:r>
                    <w:rPr>
                      <w:sz w:val="44"/>
                      <w:szCs w:val="44"/>
                      <w:lang w:val="fr-BE"/>
                    </w:rPr>
                    <w:t xml:space="preserve"> 2011</w:t>
                  </w:r>
                </w:p>
                <w:p w:rsidR="003F1408" w:rsidRDefault="003F1408" w:rsidP="008E0A3C">
                  <w:pPr>
                    <w:rPr>
                      <w:sz w:val="44"/>
                      <w:szCs w:val="44"/>
                      <w:lang w:val="fr-BE"/>
                    </w:rPr>
                  </w:pPr>
                </w:p>
                <w:p w:rsidR="003F1408" w:rsidRDefault="003F1408" w:rsidP="008E0A3C">
                  <w:pPr>
                    <w:rPr>
                      <w:sz w:val="44"/>
                      <w:szCs w:val="44"/>
                      <w:lang w:val="fr-BE"/>
                    </w:rPr>
                  </w:pPr>
                  <w:r>
                    <w:rPr>
                      <w:sz w:val="44"/>
                      <w:szCs w:val="44"/>
                      <w:lang w:val="fr-BE"/>
                    </w:rPr>
                    <w:t>2010</w:t>
                  </w:r>
                </w:p>
                <w:p w:rsidR="003F1408" w:rsidRPr="007B139A" w:rsidRDefault="003F1408" w:rsidP="008E0A3C">
                  <w:pPr>
                    <w:rPr>
                      <w:sz w:val="44"/>
                      <w:szCs w:val="44"/>
                      <w:lang w:val="fr-BE"/>
                    </w:rPr>
                  </w:pPr>
                </w:p>
              </w:txbxContent>
            </v:textbox>
            <w10:wrap side="left"/>
            <w10:anchorlock/>
          </v:shape>
        </w:pict>
      </w:r>
    </w:p>
    <w:p w:rsidR="007D4835" w:rsidRDefault="00A84001" w:rsidP="00BA414F">
      <w:pPr>
        <w:jc w:val="both"/>
        <w:rPr>
          <w:rFonts w:cs="Arial"/>
          <w:b/>
          <w:bCs/>
          <w:color w:val="00B0F0"/>
          <w:sz w:val="24"/>
          <w:szCs w:val="24"/>
        </w:rPr>
      </w:pPr>
      <w:r>
        <w:rPr>
          <w:rFonts w:cs="Arial"/>
          <w:b/>
          <w:bCs/>
          <w:color w:val="00B0F0"/>
          <w:sz w:val="24"/>
          <w:szCs w:val="24"/>
        </w:rPr>
        <w:lastRenderedPageBreak/>
        <w:t>TABLE DES MATIERES</w:t>
      </w:r>
    </w:p>
    <w:sdt>
      <w:sdtPr>
        <w:rPr>
          <w:rFonts w:asciiTheme="minorHAnsi" w:eastAsiaTheme="minorHAnsi" w:hAnsiTheme="minorHAnsi" w:cstheme="minorBidi"/>
          <w:b w:val="0"/>
          <w:bCs w:val="0"/>
          <w:color w:val="auto"/>
          <w:sz w:val="22"/>
          <w:szCs w:val="22"/>
        </w:rPr>
        <w:id w:val="28706185"/>
        <w:docPartObj>
          <w:docPartGallery w:val="Table of Contents"/>
          <w:docPartUnique/>
        </w:docPartObj>
      </w:sdtPr>
      <w:sdtContent>
        <w:p w:rsidR="00A84001" w:rsidRDefault="00A84001">
          <w:pPr>
            <w:pStyle w:val="En-ttedetabledesmatires"/>
          </w:pPr>
        </w:p>
        <w:p w:rsidR="00A84001" w:rsidRPr="00203634" w:rsidRDefault="00BD6151" w:rsidP="00203634">
          <w:pPr>
            <w:pStyle w:val="TM1"/>
            <w:rPr>
              <w:rFonts w:eastAsiaTheme="minorEastAsia"/>
              <w:lang w:eastAsia="fr-FR"/>
            </w:rPr>
          </w:pPr>
          <w:r w:rsidRPr="00BD6151">
            <w:fldChar w:fldCharType="begin"/>
          </w:r>
          <w:r w:rsidR="00A84001">
            <w:instrText xml:space="preserve"> TOC \o "1-3" \h \z \u </w:instrText>
          </w:r>
          <w:r w:rsidRPr="00BD6151">
            <w:fldChar w:fldCharType="separate"/>
          </w:r>
          <w:hyperlink w:anchor="_Toc391300290" w:history="1">
            <w:r w:rsidR="00A84001" w:rsidRPr="00203634">
              <w:rPr>
                <w:rStyle w:val="Lienhypertexte"/>
                <w:u w:val="none"/>
              </w:rPr>
              <w:t>I. INTRODUCTION</w:t>
            </w:r>
            <w:r w:rsidR="00A84001" w:rsidRPr="00203634">
              <w:rPr>
                <w:webHidden/>
              </w:rPr>
              <w:tab/>
            </w:r>
            <w:r w:rsidRPr="00203634">
              <w:rPr>
                <w:webHidden/>
              </w:rPr>
              <w:fldChar w:fldCharType="begin"/>
            </w:r>
            <w:r w:rsidR="00A84001" w:rsidRPr="00203634">
              <w:rPr>
                <w:webHidden/>
              </w:rPr>
              <w:instrText xml:space="preserve"> PAGEREF _Toc391300290 \h </w:instrText>
            </w:r>
            <w:r w:rsidRPr="00203634">
              <w:rPr>
                <w:webHidden/>
              </w:rPr>
            </w:r>
            <w:r w:rsidRPr="00203634">
              <w:rPr>
                <w:webHidden/>
              </w:rPr>
              <w:fldChar w:fldCharType="separate"/>
            </w:r>
            <w:r w:rsidR="005C4FF4">
              <w:rPr>
                <w:webHidden/>
              </w:rPr>
              <w:t>1</w:t>
            </w:r>
            <w:r w:rsidRPr="00203634">
              <w:rPr>
                <w:webHidden/>
              </w:rPr>
              <w:fldChar w:fldCharType="end"/>
            </w:r>
          </w:hyperlink>
        </w:p>
        <w:p w:rsidR="00A84001" w:rsidRPr="00203634" w:rsidRDefault="00BD6151" w:rsidP="00203634">
          <w:pPr>
            <w:pStyle w:val="TM1"/>
            <w:rPr>
              <w:rFonts w:eastAsiaTheme="minorEastAsia"/>
              <w:lang w:eastAsia="fr-FR"/>
            </w:rPr>
          </w:pPr>
          <w:hyperlink w:anchor="_Toc391300291" w:history="1">
            <w:r w:rsidR="00A84001" w:rsidRPr="00203634">
              <w:rPr>
                <w:rStyle w:val="Lienhypertexte"/>
                <w:u w:val="none"/>
              </w:rPr>
              <w:t>II. PRODUCTION</w:t>
            </w:r>
            <w:r w:rsidR="00A84001" w:rsidRPr="00203634">
              <w:rPr>
                <w:webHidden/>
              </w:rPr>
              <w:tab/>
            </w:r>
            <w:r w:rsidRPr="00203634">
              <w:rPr>
                <w:webHidden/>
              </w:rPr>
              <w:fldChar w:fldCharType="begin"/>
            </w:r>
            <w:r w:rsidR="00A84001" w:rsidRPr="00203634">
              <w:rPr>
                <w:webHidden/>
              </w:rPr>
              <w:instrText xml:space="preserve"> PAGEREF _Toc391300291 \h </w:instrText>
            </w:r>
            <w:r w:rsidRPr="00203634">
              <w:rPr>
                <w:webHidden/>
              </w:rPr>
            </w:r>
            <w:r w:rsidRPr="00203634">
              <w:rPr>
                <w:webHidden/>
              </w:rPr>
              <w:fldChar w:fldCharType="separate"/>
            </w:r>
            <w:r w:rsidR="005C4FF4">
              <w:rPr>
                <w:webHidden/>
              </w:rPr>
              <w:t>1</w:t>
            </w:r>
            <w:r w:rsidRPr="00203634">
              <w:rPr>
                <w:webHidden/>
              </w:rPr>
              <w:fldChar w:fldCharType="end"/>
            </w:r>
          </w:hyperlink>
        </w:p>
        <w:p w:rsidR="00A84001" w:rsidRDefault="00BD6151">
          <w:pPr>
            <w:pStyle w:val="TM2"/>
            <w:tabs>
              <w:tab w:val="right" w:leader="dot" w:pos="9062"/>
            </w:tabs>
            <w:rPr>
              <w:rFonts w:eastAsiaTheme="minorEastAsia"/>
              <w:noProof/>
              <w:lang w:eastAsia="fr-FR"/>
            </w:rPr>
          </w:pPr>
          <w:hyperlink w:anchor="_Toc391300292" w:history="1">
            <w:r w:rsidR="00A84001" w:rsidRPr="00414407">
              <w:rPr>
                <w:rStyle w:val="Lienhypertexte"/>
                <w:rFonts w:ascii="Calibri" w:eastAsia="Calibri" w:hAnsi="Calibri" w:cs="Calibri"/>
                <w:noProof/>
              </w:rPr>
              <w:t>Indice de la production industrielle</w:t>
            </w:r>
            <w:r w:rsidR="00A84001">
              <w:rPr>
                <w:noProof/>
                <w:webHidden/>
              </w:rPr>
              <w:tab/>
            </w:r>
            <w:r>
              <w:rPr>
                <w:noProof/>
                <w:webHidden/>
              </w:rPr>
              <w:fldChar w:fldCharType="begin"/>
            </w:r>
            <w:r w:rsidR="00A84001">
              <w:rPr>
                <w:noProof/>
                <w:webHidden/>
              </w:rPr>
              <w:instrText xml:space="preserve"> PAGEREF _Toc391300292 \h </w:instrText>
            </w:r>
            <w:r>
              <w:rPr>
                <w:noProof/>
                <w:webHidden/>
              </w:rPr>
            </w:r>
            <w:r>
              <w:rPr>
                <w:noProof/>
                <w:webHidden/>
              </w:rPr>
              <w:fldChar w:fldCharType="separate"/>
            </w:r>
            <w:r w:rsidR="005C4FF4">
              <w:rPr>
                <w:noProof/>
                <w:webHidden/>
              </w:rPr>
              <w:t>1</w:t>
            </w:r>
            <w:r>
              <w:rPr>
                <w:noProof/>
                <w:webHidden/>
              </w:rPr>
              <w:fldChar w:fldCharType="end"/>
            </w:r>
          </w:hyperlink>
        </w:p>
        <w:p w:rsidR="00A84001" w:rsidRDefault="00BD6151">
          <w:pPr>
            <w:pStyle w:val="TM2"/>
            <w:tabs>
              <w:tab w:val="right" w:leader="dot" w:pos="9062"/>
            </w:tabs>
            <w:rPr>
              <w:rFonts w:eastAsiaTheme="minorEastAsia"/>
              <w:noProof/>
              <w:lang w:eastAsia="fr-FR"/>
            </w:rPr>
          </w:pPr>
          <w:hyperlink w:anchor="_Toc391300293" w:history="1">
            <w:r w:rsidR="00A84001" w:rsidRPr="00414407">
              <w:rPr>
                <w:rStyle w:val="Lienhypertexte"/>
                <w:rFonts w:ascii="Calibri" w:eastAsia="Calibri" w:hAnsi="Calibri" w:cs="Times New Roman"/>
                <w:noProof/>
              </w:rPr>
              <w:t>Café</w:t>
            </w:r>
            <w:r w:rsidR="00A84001">
              <w:rPr>
                <w:noProof/>
                <w:webHidden/>
              </w:rPr>
              <w:tab/>
            </w:r>
            <w:r>
              <w:rPr>
                <w:noProof/>
                <w:webHidden/>
              </w:rPr>
              <w:fldChar w:fldCharType="begin"/>
            </w:r>
            <w:r w:rsidR="00A84001">
              <w:rPr>
                <w:noProof/>
                <w:webHidden/>
              </w:rPr>
              <w:instrText xml:space="preserve"> PAGEREF _Toc391300293 \h </w:instrText>
            </w:r>
            <w:r>
              <w:rPr>
                <w:noProof/>
                <w:webHidden/>
              </w:rPr>
            </w:r>
            <w:r>
              <w:rPr>
                <w:noProof/>
                <w:webHidden/>
              </w:rPr>
              <w:fldChar w:fldCharType="separate"/>
            </w:r>
            <w:r w:rsidR="005C4FF4">
              <w:rPr>
                <w:noProof/>
                <w:webHidden/>
              </w:rPr>
              <w:t>1</w:t>
            </w:r>
            <w:r>
              <w:rPr>
                <w:noProof/>
                <w:webHidden/>
              </w:rPr>
              <w:fldChar w:fldCharType="end"/>
            </w:r>
          </w:hyperlink>
        </w:p>
        <w:p w:rsidR="00A84001" w:rsidRDefault="00BD6151">
          <w:pPr>
            <w:pStyle w:val="TM2"/>
            <w:tabs>
              <w:tab w:val="right" w:leader="dot" w:pos="9062"/>
            </w:tabs>
            <w:rPr>
              <w:rFonts w:eastAsiaTheme="minorEastAsia"/>
              <w:noProof/>
              <w:lang w:eastAsia="fr-FR"/>
            </w:rPr>
          </w:pPr>
          <w:hyperlink w:anchor="_Toc391300294" w:history="1">
            <w:r w:rsidR="00A84001" w:rsidRPr="00414407">
              <w:rPr>
                <w:rStyle w:val="Lienhypertexte"/>
                <w:rFonts w:ascii="Calibri" w:eastAsia="Calibri" w:hAnsi="Calibri" w:cs="Times New Roman"/>
                <w:noProof/>
              </w:rPr>
              <w:t>Thé</w:t>
            </w:r>
            <w:r w:rsidR="00A84001">
              <w:rPr>
                <w:noProof/>
                <w:webHidden/>
              </w:rPr>
              <w:tab/>
            </w:r>
            <w:r>
              <w:rPr>
                <w:noProof/>
                <w:webHidden/>
              </w:rPr>
              <w:fldChar w:fldCharType="begin"/>
            </w:r>
            <w:r w:rsidR="00A84001">
              <w:rPr>
                <w:noProof/>
                <w:webHidden/>
              </w:rPr>
              <w:instrText xml:space="preserve"> PAGEREF _Toc391300294 \h </w:instrText>
            </w:r>
            <w:r>
              <w:rPr>
                <w:noProof/>
                <w:webHidden/>
              </w:rPr>
            </w:r>
            <w:r>
              <w:rPr>
                <w:noProof/>
                <w:webHidden/>
              </w:rPr>
              <w:fldChar w:fldCharType="separate"/>
            </w:r>
            <w:r w:rsidR="005C4FF4">
              <w:rPr>
                <w:noProof/>
                <w:webHidden/>
              </w:rPr>
              <w:t>1</w:t>
            </w:r>
            <w:r>
              <w:rPr>
                <w:noProof/>
                <w:webHidden/>
              </w:rPr>
              <w:fldChar w:fldCharType="end"/>
            </w:r>
          </w:hyperlink>
        </w:p>
        <w:p w:rsidR="00A84001" w:rsidRDefault="00BD6151" w:rsidP="00203634">
          <w:pPr>
            <w:pStyle w:val="TM1"/>
            <w:rPr>
              <w:rFonts w:eastAsiaTheme="minorEastAsia"/>
              <w:lang w:eastAsia="fr-FR"/>
            </w:rPr>
          </w:pPr>
          <w:hyperlink w:anchor="_Toc391300295" w:history="1">
            <w:r w:rsidR="00A84001" w:rsidRPr="00414407">
              <w:rPr>
                <w:rStyle w:val="Lienhypertexte"/>
              </w:rPr>
              <w:t>III.INDICE DES PRIX A LA CONSOMMATION</w:t>
            </w:r>
            <w:r w:rsidR="00A84001">
              <w:rPr>
                <w:webHidden/>
              </w:rPr>
              <w:tab/>
            </w:r>
            <w:r>
              <w:rPr>
                <w:webHidden/>
              </w:rPr>
              <w:fldChar w:fldCharType="begin"/>
            </w:r>
            <w:r w:rsidR="00A84001">
              <w:rPr>
                <w:webHidden/>
              </w:rPr>
              <w:instrText xml:space="preserve"> PAGEREF _Toc391300295 \h </w:instrText>
            </w:r>
            <w:r>
              <w:rPr>
                <w:webHidden/>
              </w:rPr>
            </w:r>
            <w:r>
              <w:rPr>
                <w:webHidden/>
              </w:rPr>
              <w:fldChar w:fldCharType="separate"/>
            </w:r>
            <w:r w:rsidR="005C4FF4">
              <w:rPr>
                <w:webHidden/>
              </w:rPr>
              <w:t>1</w:t>
            </w:r>
            <w:r>
              <w:rPr>
                <w:webHidden/>
              </w:rPr>
              <w:fldChar w:fldCharType="end"/>
            </w:r>
          </w:hyperlink>
        </w:p>
        <w:p w:rsidR="00A84001" w:rsidRDefault="00BD6151" w:rsidP="00203634">
          <w:pPr>
            <w:pStyle w:val="TM1"/>
            <w:rPr>
              <w:rFonts w:eastAsiaTheme="minorEastAsia"/>
              <w:lang w:eastAsia="fr-FR"/>
            </w:rPr>
          </w:pPr>
          <w:hyperlink w:anchor="_Toc391300296" w:history="1">
            <w:r w:rsidR="00A84001" w:rsidRPr="00414407">
              <w:rPr>
                <w:rStyle w:val="Lienhypertexte"/>
                <w:rFonts w:cs="Times New Roman"/>
              </w:rPr>
              <w:t>IV. FINANCES PUBLIQUES</w:t>
            </w:r>
            <w:r w:rsidR="00A84001">
              <w:rPr>
                <w:webHidden/>
              </w:rPr>
              <w:tab/>
            </w:r>
            <w:r>
              <w:rPr>
                <w:webHidden/>
              </w:rPr>
              <w:fldChar w:fldCharType="begin"/>
            </w:r>
            <w:r w:rsidR="00A84001">
              <w:rPr>
                <w:webHidden/>
              </w:rPr>
              <w:instrText xml:space="preserve"> PAGEREF _Toc391300296 \h </w:instrText>
            </w:r>
            <w:r>
              <w:rPr>
                <w:webHidden/>
              </w:rPr>
            </w:r>
            <w:r>
              <w:rPr>
                <w:webHidden/>
              </w:rPr>
              <w:fldChar w:fldCharType="separate"/>
            </w:r>
            <w:r w:rsidR="005C4FF4">
              <w:rPr>
                <w:webHidden/>
              </w:rPr>
              <w:t>2</w:t>
            </w:r>
            <w:r>
              <w:rPr>
                <w:webHidden/>
              </w:rPr>
              <w:fldChar w:fldCharType="end"/>
            </w:r>
          </w:hyperlink>
        </w:p>
        <w:p w:rsidR="00A84001" w:rsidRDefault="00BD6151">
          <w:pPr>
            <w:pStyle w:val="TM2"/>
            <w:tabs>
              <w:tab w:val="right" w:leader="dot" w:pos="9062"/>
            </w:tabs>
            <w:rPr>
              <w:rFonts w:eastAsiaTheme="minorEastAsia"/>
              <w:noProof/>
              <w:lang w:eastAsia="fr-FR"/>
            </w:rPr>
          </w:pPr>
          <w:hyperlink w:anchor="_Toc391300297" w:history="1">
            <w:r w:rsidR="00A84001" w:rsidRPr="00414407">
              <w:rPr>
                <w:rStyle w:val="Lienhypertexte"/>
                <w:rFonts w:ascii="Calibri" w:eastAsia="Calibri" w:hAnsi="Calibri" w:cs="Times New Roman"/>
                <w:noProof/>
              </w:rPr>
              <w:t>Recettes</w:t>
            </w:r>
            <w:r w:rsidR="00A84001">
              <w:rPr>
                <w:noProof/>
                <w:webHidden/>
              </w:rPr>
              <w:tab/>
            </w:r>
            <w:r>
              <w:rPr>
                <w:noProof/>
                <w:webHidden/>
              </w:rPr>
              <w:fldChar w:fldCharType="begin"/>
            </w:r>
            <w:r w:rsidR="00A84001">
              <w:rPr>
                <w:noProof/>
                <w:webHidden/>
              </w:rPr>
              <w:instrText xml:space="preserve"> PAGEREF _Toc391300297 \h </w:instrText>
            </w:r>
            <w:r>
              <w:rPr>
                <w:noProof/>
                <w:webHidden/>
              </w:rPr>
            </w:r>
            <w:r>
              <w:rPr>
                <w:noProof/>
                <w:webHidden/>
              </w:rPr>
              <w:fldChar w:fldCharType="separate"/>
            </w:r>
            <w:r w:rsidR="005C4FF4">
              <w:rPr>
                <w:noProof/>
                <w:webHidden/>
              </w:rPr>
              <w:t>2</w:t>
            </w:r>
            <w:r>
              <w:rPr>
                <w:noProof/>
                <w:webHidden/>
              </w:rPr>
              <w:fldChar w:fldCharType="end"/>
            </w:r>
          </w:hyperlink>
        </w:p>
        <w:p w:rsidR="00A84001" w:rsidRDefault="00BD6151">
          <w:pPr>
            <w:pStyle w:val="TM2"/>
            <w:tabs>
              <w:tab w:val="right" w:leader="dot" w:pos="9062"/>
            </w:tabs>
            <w:rPr>
              <w:rFonts w:eastAsiaTheme="minorEastAsia"/>
              <w:noProof/>
              <w:lang w:eastAsia="fr-FR"/>
            </w:rPr>
          </w:pPr>
          <w:hyperlink w:anchor="_Toc391300298" w:history="1">
            <w:r w:rsidR="00A84001" w:rsidRPr="00414407">
              <w:rPr>
                <w:rStyle w:val="Lienhypertexte"/>
                <w:rFonts w:ascii="Calibri" w:eastAsia="Calibri" w:hAnsi="Calibri" w:cs="Times New Roman"/>
                <w:noProof/>
              </w:rPr>
              <w:t>Dépenses</w:t>
            </w:r>
            <w:r w:rsidR="00A84001">
              <w:rPr>
                <w:noProof/>
                <w:webHidden/>
              </w:rPr>
              <w:tab/>
            </w:r>
            <w:r>
              <w:rPr>
                <w:noProof/>
                <w:webHidden/>
              </w:rPr>
              <w:fldChar w:fldCharType="begin"/>
            </w:r>
            <w:r w:rsidR="00A84001">
              <w:rPr>
                <w:noProof/>
                <w:webHidden/>
              </w:rPr>
              <w:instrText xml:space="preserve"> PAGEREF _Toc391300298 \h </w:instrText>
            </w:r>
            <w:r>
              <w:rPr>
                <w:noProof/>
                <w:webHidden/>
              </w:rPr>
            </w:r>
            <w:r>
              <w:rPr>
                <w:noProof/>
                <w:webHidden/>
              </w:rPr>
              <w:fldChar w:fldCharType="separate"/>
            </w:r>
            <w:r w:rsidR="005C4FF4">
              <w:rPr>
                <w:noProof/>
                <w:webHidden/>
              </w:rPr>
              <w:t>2</w:t>
            </w:r>
            <w:r>
              <w:rPr>
                <w:noProof/>
                <w:webHidden/>
              </w:rPr>
              <w:fldChar w:fldCharType="end"/>
            </w:r>
          </w:hyperlink>
        </w:p>
        <w:p w:rsidR="00A84001" w:rsidRDefault="00BD6151">
          <w:pPr>
            <w:pStyle w:val="TM2"/>
            <w:tabs>
              <w:tab w:val="right" w:leader="dot" w:pos="9062"/>
            </w:tabs>
            <w:rPr>
              <w:rFonts w:eastAsiaTheme="minorEastAsia"/>
              <w:noProof/>
              <w:lang w:eastAsia="fr-FR"/>
            </w:rPr>
          </w:pPr>
          <w:hyperlink w:anchor="_Toc391300299" w:history="1">
            <w:r w:rsidR="00A84001" w:rsidRPr="00414407">
              <w:rPr>
                <w:rStyle w:val="Lienhypertexte"/>
                <w:rFonts w:ascii="Calibri" w:eastAsia="Calibri" w:hAnsi="Calibri" w:cs="Times New Roman"/>
                <w:noProof/>
              </w:rPr>
              <w:t>Dette publique</w:t>
            </w:r>
            <w:r w:rsidR="00A84001">
              <w:rPr>
                <w:noProof/>
                <w:webHidden/>
              </w:rPr>
              <w:tab/>
            </w:r>
            <w:r>
              <w:rPr>
                <w:noProof/>
                <w:webHidden/>
              </w:rPr>
              <w:fldChar w:fldCharType="begin"/>
            </w:r>
            <w:r w:rsidR="00A84001">
              <w:rPr>
                <w:noProof/>
                <w:webHidden/>
              </w:rPr>
              <w:instrText xml:space="preserve"> PAGEREF _Toc391300299 \h </w:instrText>
            </w:r>
            <w:r>
              <w:rPr>
                <w:noProof/>
                <w:webHidden/>
              </w:rPr>
            </w:r>
            <w:r>
              <w:rPr>
                <w:noProof/>
                <w:webHidden/>
              </w:rPr>
              <w:fldChar w:fldCharType="separate"/>
            </w:r>
            <w:r w:rsidR="005C4FF4">
              <w:rPr>
                <w:noProof/>
                <w:webHidden/>
              </w:rPr>
              <w:t>2</w:t>
            </w:r>
            <w:r>
              <w:rPr>
                <w:noProof/>
                <w:webHidden/>
              </w:rPr>
              <w:fldChar w:fldCharType="end"/>
            </w:r>
          </w:hyperlink>
        </w:p>
        <w:p w:rsidR="00A84001" w:rsidRDefault="00BD6151">
          <w:pPr>
            <w:pStyle w:val="TM3"/>
            <w:tabs>
              <w:tab w:val="right" w:leader="dot" w:pos="9062"/>
            </w:tabs>
            <w:rPr>
              <w:rFonts w:eastAsiaTheme="minorEastAsia"/>
              <w:noProof/>
              <w:lang w:eastAsia="fr-FR"/>
            </w:rPr>
          </w:pPr>
          <w:hyperlink w:anchor="_Toc391300300" w:history="1">
            <w:r w:rsidR="00A84001" w:rsidRPr="00414407">
              <w:rPr>
                <w:rStyle w:val="Lienhypertexte"/>
                <w:rFonts w:ascii="Calibri" w:eastAsia="Calibri" w:hAnsi="Calibri" w:cs="Times New Roman"/>
                <w:noProof/>
              </w:rPr>
              <w:t>- Dette intérieure</w:t>
            </w:r>
            <w:r w:rsidR="00A84001">
              <w:rPr>
                <w:noProof/>
                <w:webHidden/>
              </w:rPr>
              <w:tab/>
            </w:r>
            <w:r>
              <w:rPr>
                <w:noProof/>
                <w:webHidden/>
              </w:rPr>
              <w:fldChar w:fldCharType="begin"/>
            </w:r>
            <w:r w:rsidR="00A84001">
              <w:rPr>
                <w:noProof/>
                <w:webHidden/>
              </w:rPr>
              <w:instrText xml:space="preserve"> PAGEREF _Toc391300300 \h </w:instrText>
            </w:r>
            <w:r>
              <w:rPr>
                <w:noProof/>
                <w:webHidden/>
              </w:rPr>
            </w:r>
            <w:r>
              <w:rPr>
                <w:noProof/>
                <w:webHidden/>
              </w:rPr>
              <w:fldChar w:fldCharType="separate"/>
            </w:r>
            <w:r w:rsidR="005C4FF4">
              <w:rPr>
                <w:noProof/>
                <w:webHidden/>
              </w:rPr>
              <w:t>2</w:t>
            </w:r>
            <w:r>
              <w:rPr>
                <w:noProof/>
                <w:webHidden/>
              </w:rPr>
              <w:fldChar w:fldCharType="end"/>
            </w:r>
          </w:hyperlink>
        </w:p>
        <w:p w:rsidR="00A84001" w:rsidRDefault="00BD6151">
          <w:pPr>
            <w:pStyle w:val="TM3"/>
            <w:tabs>
              <w:tab w:val="right" w:leader="dot" w:pos="9062"/>
            </w:tabs>
            <w:rPr>
              <w:rFonts w:eastAsiaTheme="minorEastAsia"/>
              <w:noProof/>
              <w:lang w:eastAsia="fr-FR"/>
            </w:rPr>
          </w:pPr>
          <w:hyperlink w:anchor="_Toc391300301" w:history="1">
            <w:r w:rsidR="00A84001" w:rsidRPr="00414407">
              <w:rPr>
                <w:rStyle w:val="Lienhypertexte"/>
                <w:rFonts w:ascii="Calibri" w:eastAsia="Calibri" w:hAnsi="Calibri" w:cs="Times New Roman"/>
                <w:noProof/>
              </w:rPr>
              <w:t>- Dette extérieure</w:t>
            </w:r>
            <w:r w:rsidR="00A84001">
              <w:rPr>
                <w:noProof/>
                <w:webHidden/>
              </w:rPr>
              <w:tab/>
            </w:r>
            <w:r>
              <w:rPr>
                <w:noProof/>
                <w:webHidden/>
              </w:rPr>
              <w:fldChar w:fldCharType="begin"/>
            </w:r>
            <w:r w:rsidR="00A84001">
              <w:rPr>
                <w:noProof/>
                <w:webHidden/>
              </w:rPr>
              <w:instrText xml:space="preserve"> PAGEREF _Toc391300301 \h </w:instrText>
            </w:r>
            <w:r>
              <w:rPr>
                <w:noProof/>
                <w:webHidden/>
              </w:rPr>
            </w:r>
            <w:r>
              <w:rPr>
                <w:noProof/>
                <w:webHidden/>
              </w:rPr>
              <w:fldChar w:fldCharType="separate"/>
            </w:r>
            <w:r w:rsidR="005C4FF4">
              <w:rPr>
                <w:noProof/>
                <w:webHidden/>
              </w:rPr>
              <w:t>3</w:t>
            </w:r>
            <w:r>
              <w:rPr>
                <w:noProof/>
                <w:webHidden/>
              </w:rPr>
              <w:fldChar w:fldCharType="end"/>
            </w:r>
          </w:hyperlink>
        </w:p>
        <w:p w:rsidR="00A84001" w:rsidRDefault="00BD6151" w:rsidP="00203634">
          <w:pPr>
            <w:pStyle w:val="TM1"/>
            <w:rPr>
              <w:rFonts w:eastAsiaTheme="minorEastAsia"/>
              <w:lang w:eastAsia="fr-FR"/>
            </w:rPr>
          </w:pPr>
          <w:hyperlink w:anchor="_Toc391300302" w:history="1">
            <w:r w:rsidR="00A84001" w:rsidRPr="00414407">
              <w:rPr>
                <w:rStyle w:val="Lienhypertexte"/>
                <w:rFonts w:cs="Times New Roman"/>
              </w:rPr>
              <w:t>V.  BASE MONETAIRE, MASSE MONETAIRE ET SES CONTREPARTIES</w:t>
            </w:r>
            <w:r w:rsidR="00A84001">
              <w:rPr>
                <w:webHidden/>
              </w:rPr>
              <w:tab/>
            </w:r>
            <w:r>
              <w:rPr>
                <w:webHidden/>
              </w:rPr>
              <w:fldChar w:fldCharType="begin"/>
            </w:r>
            <w:r w:rsidR="00A84001">
              <w:rPr>
                <w:webHidden/>
              </w:rPr>
              <w:instrText xml:space="preserve"> PAGEREF _Toc391300302 \h </w:instrText>
            </w:r>
            <w:r>
              <w:rPr>
                <w:webHidden/>
              </w:rPr>
            </w:r>
            <w:r>
              <w:rPr>
                <w:webHidden/>
              </w:rPr>
              <w:fldChar w:fldCharType="separate"/>
            </w:r>
            <w:r w:rsidR="005C4FF4">
              <w:rPr>
                <w:webHidden/>
              </w:rPr>
              <w:t>3</w:t>
            </w:r>
            <w:r>
              <w:rPr>
                <w:webHidden/>
              </w:rPr>
              <w:fldChar w:fldCharType="end"/>
            </w:r>
          </w:hyperlink>
        </w:p>
        <w:p w:rsidR="00A84001" w:rsidRDefault="00BD6151">
          <w:pPr>
            <w:pStyle w:val="TM2"/>
            <w:tabs>
              <w:tab w:val="right" w:leader="dot" w:pos="9062"/>
            </w:tabs>
            <w:rPr>
              <w:rFonts w:eastAsiaTheme="minorEastAsia"/>
              <w:noProof/>
              <w:lang w:eastAsia="fr-FR"/>
            </w:rPr>
          </w:pPr>
          <w:hyperlink w:anchor="_Toc391300303" w:history="1">
            <w:r w:rsidR="00A84001" w:rsidRPr="00414407">
              <w:rPr>
                <w:rStyle w:val="Lienhypertexte"/>
                <w:rFonts w:ascii="Calibri" w:eastAsia="Calibri" w:hAnsi="Calibri" w:cs="Times New Roman"/>
                <w:noProof/>
              </w:rPr>
              <w:t>Base monétaire</w:t>
            </w:r>
            <w:r w:rsidR="00A84001">
              <w:rPr>
                <w:noProof/>
                <w:webHidden/>
              </w:rPr>
              <w:tab/>
            </w:r>
            <w:r>
              <w:rPr>
                <w:noProof/>
                <w:webHidden/>
              </w:rPr>
              <w:fldChar w:fldCharType="begin"/>
            </w:r>
            <w:r w:rsidR="00A84001">
              <w:rPr>
                <w:noProof/>
                <w:webHidden/>
              </w:rPr>
              <w:instrText xml:space="preserve"> PAGEREF _Toc391300303 \h </w:instrText>
            </w:r>
            <w:r>
              <w:rPr>
                <w:noProof/>
                <w:webHidden/>
              </w:rPr>
            </w:r>
            <w:r>
              <w:rPr>
                <w:noProof/>
                <w:webHidden/>
              </w:rPr>
              <w:fldChar w:fldCharType="separate"/>
            </w:r>
            <w:r w:rsidR="005C4FF4">
              <w:rPr>
                <w:noProof/>
                <w:webHidden/>
              </w:rPr>
              <w:t>3</w:t>
            </w:r>
            <w:r>
              <w:rPr>
                <w:noProof/>
                <w:webHidden/>
              </w:rPr>
              <w:fldChar w:fldCharType="end"/>
            </w:r>
          </w:hyperlink>
        </w:p>
        <w:p w:rsidR="00A84001" w:rsidRDefault="00BD6151">
          <w:pPr>
            <w:pStyle w:val="TM2"/>
            <w:tabs>
              <w:tab w:val="right" w:leader="dot" w:pos="9062"/>
            </w:tabs>
            <w:rPr>
              <w:rFonts w:eastAsiaTheme="minorEastAsia"/>
              <w:noProof/>
              <w:lang w:eastAsia="fr-FR"/>
            </w:rPr>
          </w:pPr>
          <w:hyperlink w:anchor="_Toc391300304" w:history="1">
            <w:r w:rsidR="00A84001" w:rsidRPr="00414407">
              <w:rPr>
                <w:rStyle w:val="Lienhypertexte"/>
                <w:rFonts w:ascii="Calibri" w:eastAsia="Calibri" w:hAnsi="Calibri" w:cs="Times New Roman"/>
                <w:noProof/>
              </w:rPr>
              <w:t>Masse monétaire au sens large (M3)</w:t>
            </w:r>
            <w:r w:rsidR="00A84001">
              <w:rPr>
                <w:noProof/>
                <w:webHidden/>
              </w:rPr>
              <w:tab/>
            </w:r>
            <w:r>
              <w:rPr>
                <w:noProof/>
                <w:webHidden/>
              </w:rPr>
              <w:fldChar w:fldCharType="begin"/>
            </w:r>
            <w:r w:rsidR="00A84001">
              <w:rPr>
                <w:noProof/>
                <w:webHidden/>
              </w:rPr>
              <w:instrText xml:space="preserve"> PAGEREF _Toc391300304 \h </w:instrText>
            </w:r>
            <w:r>
              <w:rPr>
                <w:noProof/>
                <w:webHidden/>
              </w:rPr>
            </w:r>
            <w:r>
              <w:rPr>
                <w:noProof/>
                <w:webHidden/>
              </w:rPr>
              <w:fldChar w:fldCharType="separate"/>
            </w:r>
            <w:r w:rsidR="005C4FF4">
              <w:rPr>
                <w:noProof/>
                <w:webHidden/>
              </w:rPr>
              <w:t>3</w:t>
            </w:r>
            <w:r>
              <w:rPr>
                <w:noProof/>
                <w:webHidden/>
              </w:rPr>
              <w:fldChar w:fldCharType="end"/>
            </w:r>
          </w:hyperlink>
        </w:p>
        <w:p w:rsidR="00A84001" w:rsidRDefault="00BD6151">
          <w:pPr>
            <w:pStyle w:val="TM2"/>
            <w:tabs>
              <w:tab w:val="right" w:leader="dot" w:pos="9062"/>
            </w:tabs>
            <w:rPr>
              <w:rFonts w:eastAsiaTheme="minorEastAsia"/>
              <w:noProof/>
              <w:lang w:eastAsia="fr-FR"/>
            </w:rPr>
          </w:pPr>
          <w:hyperlink w:anchor="_Toc391300305" w:history="1">
            <w:r w:rsidR="00A84001" w:rsidRPr="00414407">
              <w:rPr>
                <w:rStyle w:val="Lienhypertexte"/>
                <w:rFonts w:ascii="Calibri" w:eastAsia="Calibri" w:hAnsi="Calibri" w:cs="Times New Roman"/>
                <w:noProof/>
              </w:rPr>
              <w:t>Contreparties</w:t>
            </w:r>
            <w:r w:rsidR="00A84001">
              <w:rPr>
                <w:noProof/>
                <w:webHidden/>
              </w:rPr>
              <w:tab/>
            </w:r>
            <w:r>
              <w:rPr>
                <w:noProof/>
                <w:webHidden/>
              </w:rPr>
              <w:fldChar w:fldCharType="begin"/>
            </w:r>
            <w:r w:rsidR="00A84001">
              <w:rPr>
                <w:noProof/>
                <w:webHidden/>
              </w:rPr>
              <w:instrText xml:space="preserve"> PAGEREF _Toc391300305 \h </w:instrText>
            </w:r>
            <w:r>
              <w:rPr>
                <w:noProof/>
                <w:webHidden/>
              </w:rPr>
            </w:r>
            <w:r>
              <w:rPr>
                <w:noProof/>
                <w:webHidden/>
              </w:rPr>
              <w:fldChar w:fldCharType="separate"/>
            </w:r>
            <w:r w:rsidR="005C4FF4">
              <w:rPr>
                <w:noProof/>
                <w:webHidden/>
              </w:rPr>
              <w:t>4</w:t>
            </w:r>
            <w:r>
              <w:rPr>
                <w:noProof/>
                <w:webHidden/>
              </w:rPr>
              <w:fldChar w:fldCharType="end"/>
            </w:r>
          </w:hyperlink>
        </w:p>
        <w:p w:rsidR="00A84001" w:rsidRDefault="00BD6151" w:rsidP="00203634">
          <w:pPr>
            <w:pStyle w:val="TM1"/>
            <w:rPr>
              <w:rFonts w:eastAsiaTheme="minorEastAsia"/>
              <w:lang w:eastAsia="fr-FR"/>
            </w:rPr>
          </w:pPr>
          <w:hyperlink w:anchor="_Toc391300306" w:history="1">
            <w:r w:rsidR="00A84001" w:rsidRPr="00414407">
              <w:rPr>
                <w:rStyle w:val="Lienhypertexte"/>
                <w:lang w:val="fr-BE"/>
              </w:rPr>
              <w:t>VI. COMMERCE EXTERIEUR</w:t>
            </w:r>
            <w:r w:rsidR="00A84001">
              <w:rPr>
                <w:webHidden/>
              </w:rPr>
              <w:tab/>
            </w:r>
            <w:r>
              <w:rPr>
                <w:webHidden/>
              </w:rPr>
              <w:fldChar w:fldCharType="begin"/>
            </w:r>
            <w:r w:rsidR="00A84001">
              <w:rPr>
                <w:webHidden/>
              </w:rPr>
              <w:instrText xml:space="preserve"> PAGEREF _Toc391300306 \h </w:instrText>
            </w:r>
            <w:r>
              <w:rPr>
                <w:webHidden/>
              </w:rPr>
            </w:r>
            <w:r>
              <w:rPr>
                <w:webHidden/>
              </w:rPr>
              <w:fldChar w:fldCharType="separate"/>
            </w:r>
            <w:r w:rsidR="005C4FF4">
              <w:rPr>
                <w:webHidden/>
              </w:rPr>
              <w:t>4</w:t>
            </w:r>
            <w:r>
              <w:rPr>
                <w:webHidden/>
              </w:rPr>
              <w:fldChar w:fldCharType="end"/>
            </w:r>
          </w:hyperlink>
        </w:p>
        <w:p w:rsidR="00A84001" w:rsidRDefault="00BD6151">
          <w:pPr>
            <w:pStyle w:val="TM2"/>
            <w:tabs>
              <w:tab w:val="right" w:leader="dot" w:pos="9062"/>
            </w:tabs>
            <w:rPr>
              <w:rFonts w:eastAsiaTheme="minorEastAsia"/>
              <w:noProof/>
              <w:lang w:eastAsia="fr-FR"/>
            </w:rPr>
          </w:pPr>
          <w:hyperlink w:anchor="_Toc391300307" w:history="1">
            <w:r w:rsidR="00A84001" w:rsidRPr="00414407">
              <w:rPr>
                <w:rStyle w:val="Lienhypertexte"/>
                <w:rFonts w:cs="Calibri"/>
                <w:noProof/>
                <w:lang w:val="fr-BE"/>
              </w:rPr>
              <w:t>Exportations</w:t>
            </w:r>
            <w:r w:rsidR="00A84001">
              <w:rPr>
                <w:noProof/>
                <w:webHidden/>
              </w:rPr>
              <w:tab/>
            </w:r>
            <w:r>
              <w:rPr>
                <w:noProof/>
                <w:webHidden/>
              </w:rPr>
              <w:fldChar w:fldCharType="begin"/>
            </w:r>
            <w:r w:rsidR="00A84001">
              <w:rPr>
                <w:noProof/>
                <w:webHidden/>
              </w:rPr>
              <w:instrText xml:space="preserve"> PAGEREF _Toc391300307 \h </w:instrText>
            </w:r>
            <w:r>
              <w:rPr>
                <w:noProof/>
                <w:webHidden/>
              </w:rPr>
            </w:r>
            <w:r>
              <w:rPr>
                <w:noProof/>
                <w:webHidden/>
              </w:rPr>
              <w:fldChar w:fldCharType="separate"/>
            </w:r>
            <w:r w:rsidR="005C4FF4">
              <w:rPr>
                <w:noProof/>
                <w:webHidden/>
              </w:rPr>
              <w:t>4</w:t>
            </w:r>
            <w:r>
              <w:rPr>
                <w:noProof/>
                <w:webHidden/>
              </w:rPr>
              <w:fldChar w:fldCharType="end"/>
            </w:r>
          </w:hyperlink>
        </w:p>
        <w:p w:rsidR="00A84001" w:rsidRDefault="00BD6151">
          <w:pPr>
            <w:pStyle w:val="TM2"/>
            <w:tabs>
              <w:tab w:val="right" w:leader="dot" w:pos="9062"/>
            </w:tabs>
            <w:rPr>
              <w:rFonts w:eastAsiaTheme="minorEastAsia"/>
              <w:noProof/>
              <w:lang w:eastAsia="fr-FR"/>
            </w:rPr>
          </w:pPr>
          <w:hyperlink w:anchor="_Toc391300308" w:history="1">
            <w:r w:rsidR="00A84001" w:rsidRPr="00414407">
              <w:rPr>
                <w:rStyle w:val="Lienhypertexte"/>
                <w:noProof/>
              </w:rPr>
              <w:t>Importations</w:t>
            </w:r>
            <w:r w:rsidR="00A84001">
              <w:rPr>
                <w:noProof/>
                <w:webHidden/>
              </w:rPr>
              <w:tab/>
            </w:r>
            <w:r>
              <w:rPr>
                <w:noProof/>
                <w:webHidden/>
              </w:rPr>
              <w:fldChar w:fldCharType="begin"/>
            </w:r>
            <w:r w:rsidR="00A84001">
              <w:rPr>
                <w:noProof/>
                <w:webHidden/>
              </w:rPr>
              <w:instrText xml:space="preserve"> PAGEREF _Toc391300308 \h </w:instrText>
            </w:r>
            <w:r>
              <w:rPr>
                <w:noProof/>
                <w:webHidden/>
              </w:rPr>
            </w:r>
            <w:r>
              <w:rPr>
                <w:noProof/>
                <w:webHidden/>
              </w:rPr>
              <w:fldChar w:fldCharType="separate"/>
            </w:r>
            <w:r w:rsidR="005C4FF4">
              <w:rPr>
                <w:noProof/>
                <w:webHidden/>
              </w:rPr>
              <w:t>4</w:t>
            </w:r>
            <w:r>
              <w:rPr>
                <w:noProof/>
                <w:webHidden/>
              </w:rPr>
              <w:fldChar w:fldCharType="end"/>
            </w:r>
          </w:hyperlink>
        </w:p>
        <w:p w:rsidR="00A84001" w:rsidRDefault="00BD6151" w:rsidP="00203634">
          <w:pPr>
            <w:pStyle w:val="TM1"/>
            <w:rPr>
              <w:rFonts w:eastAsiaTheme="minorEastAsia"/>
              <w:lang w:eastAsia="fr-FR"/>
            </w:rPr>
          </w:pPr>
          <w:hyperlink w:anchor="_Toc391300309" w:history="1">
            <w:r w:rsidR="00A84001" w:rsidRPr="00414407">
              <w:rPr>
                <w:rStyle w:val="Lienhypertexte"/>
              </w:rPr>
              <w:t>VII.TAUX DE CHANGE</w:t>
            </w:r>
            <w:r w:rsidR="00A84001">
              <w:rPr>
                <w:webHidden/>
              </w:rPr>
              <w:tab/>
            </w:r>
            <w:r>
              <w:rPr>
                <w:webHidden/>
              </w:rPr>
              <w:fldChar w:fldCharType="begin"/>
            </w:r>
            <w:r w:rsidR="00A84001">
              <w:rPr>
                <w:webHidden/>
              </w:rPr>
              <w:instrText xml:space="preserve"> PAGEREF _Toc391300309 \h </w:instrText>
            </w:r>
            <w:r>
              <w:rPr>
                <w:webHidden/>
              </w:rPr>
            </w:r>
            <w:r>
              <w:rPr>
                <w:webHidden/>
              </w:rPr>
              <w:fldChar w:fldCharType="separate"/>
            </w:r>
            <w:r w:rsidR="005C4FF4">
              <w:rPr>
                <w:webHidden/>
              </w:rPr>
              <w:t>4</w:t>
            </w:r>
            <w:r>
              <w:rPr>
                <w:webHidden/>
              </w:rPr>
              <w:fldChar w:fldCharType="end"/>
            </w:r>
          </w:hyperlink>
        </w:p>
        <w:p w:rsidR="00A84001" w:rsidRDefault="00BD6151" w:rsidP="00203634">
          <w:pPr>
            <w:pStyle w:val="TM1"/>
            <w:rPr>
              <w:rFonts w:eastAsiaTheme="minorEastAsia"/>
              <w:lang w:eastAsia="fr-FR"/>
            </w:rPr>
          </w:pPr>
          <w:hyperlink w:anchor="_Toc391300310" w:history="1">
            <w:r w:rsidR="00A84001" w:rsidRPr="00414407">
              <w:rPr>
                <w:rStyle w:val="Lienhypertexte"/>
              </w:rPr>
              <w:t>ANNEXE 1 : PRINCIPAUX INDICATEURS MENSUELS</w:t>
            </w:r>
            <w:r w:rsidR="00A84001">
              <w:rPr>
                <w:webHidden/>
              </w:rPr>
              <w:tab/>
            </w:r>
            <w:r>
              <w:rPr>
                <w:webHidden/>
              </w:rPr>
              <w:fldChar w:fldCharType="begin"/>
            </w:r>
            <w:r w:rsidR="00A84001">
              <w:rPr>
                <w:webHidden/>
              </w:rPr>
              <w:instrText xml:space="preserve"> PAGEREF _Toc391300310 \h </w:instrText>
            </w:r>
            <w:r>
              <w:rPr>
                <w:webHidden/>
              </w:rPr>
            </w:r>
            <w:r>
              <w:rPr>
                <w:webHidden/>
              </w:rPr>
              <w:fldChar w:fldCharType="separate"/>
            </w:r>
            <w:r w:rsidR="005C4FF4">
              <w:rPr>
                <w:webHidden/>
              </w:rPr>
              <w:t>6</w:t>
            </w:r>
            <w:r>
              <w:rPr>
                <w:webHidden/>
              </w:rPr>
              <w:fldChar w:fldCharType="end"/>
            </w:r>
          </w:hyperlink>
        </w:p>
        <w:p w:rsidR="00A84001" w:rsidRDefault="00BD6151" w:rsidP="00203634">
          <w:pPr>
            <w:pStyle w:val="TM1"/>
            <w:rPr>
              <w:rFonts w:eastAsiaTheme="minorEastAsia"/>
              <w:lang w:eastAsia="fr-FR"/>
            </w:rPr>
          </w:pPr>
          <w:hyperlink w:anchor="_Toc391300311" w:history="1">
            <w:r w:rsidR="00A84001" w:rsidRPr="00414407">
              <w:rPr>
                <w:rStyle w:val="Lienhypertexte"/>
              </w:rPr>
              <w:t>ANNEXE 2 : PRINCIPAUX INDICATEURS ANNUELS</w:t>
            </w:r>
            <w:r w:rsidR="00A84001">
              <w:rPr>
                <w:webHidden/>
              </w:rPr>
              <w:tab/>
            </w:r>
            <w:r>
              <w:rPr>
                <w:webHidden/>
              </w:rPr>
              <w:fldChar w:fldCharType="begin"/>
            </w:r>
            <w:r w:rsidR="00A84001">
              <w:rPr>
                <w:webHidden/>
              </w:rPr>
              <w:instrText xml:space="preserve"> PAGEREF _Toc391300311 \h </w:instrText>
            </w:r>
            <w:r>
              <w:rPr>
                <w:webHidden/>
              </w:rPr>
            </w:r>
            <w:r>
              <w:rPr>
                <w:webHidden/>
              </w:rPr>
              <w:fldChar w:fldCharType="separate"/>
            </w:r>
            <w:r w:rsidR="005C4FF4">
              <w:rPr>
                <w:webHidden/>
              </w:rPr>
              <w:t>7</w:t>
            </w:r>
            <w:r>
              <w:rPr>
                <w:webHidden/>
              </w:rPr>
              <w:fldChar w:fldCharType="end"/>
            </w:r>
          </w:hyperlink>
        </w:p>
        <w:p w:rsidR="00A84001" w:rsidRDefault="00BD6151">
          <w:r>
            <w:fldChar w:fldCharType="end"/>
          </w:r>
        </w:p>
      </w:sdtContent>
    </w:sdt>
    <w:p w:rsidR="00A84001" w:rsidRDefault="00A84001" w:rsidP="00BA414F">
      <w:pPr>
        <w:jc w:val="both"/>
        <w:rPr>
          <w:rFonts w:cs="Arial"/>
          <w:b/>
          <w:bCs/>
          <w:color w:val="00B0F0"/>
          <w:sz w:val="24"/>
          <w:szCs w:val="24"/>
        </w:rPr>
      </w:pPr>
    </w:p>
    <w:p w:rsidR="00A84001" w:rsidRDefault="00A84001" w:rsidP="00BA414F">
      <w:pPr>
        <w:jc w:val="both"/>
        <w:rPr>
          <w:rFonts w:cs="Arial"/>
          <w:b/>
          <w:bCs/>
          <w:color w:val="00B0F0"/>
          <w:sz w:val="24"/>
          <w:szCs w:val="24"/>
        </w:rPr>
      </w:pPr>
    </w:p>
    <w:p w:rsidR="00A84001" w:rsidRDefault="00D22C2D" w:rsidP="00BA414F">
      <w:pPr>
        <w:jc w:val="both"/>
        <w:rPr>
          <w:rFonts w:cs="Arial"/>
          <w:b/>
          <w:bCs/>
          <w:color w:val="00B0F0"/>
          <w:sz w:val="24"/>
          <w:szCs w:val="24"/>
        </w:rPr>
        <w:sectPr w:rsidR="00A84001" w:rsidSect="00A84001">
          <w:footerReference w:type="default" r:id="rId10"/>
          <w:footerReference w:type="first" r:id="rId11"/>
          <w:pgSz w:w="11906" w:h="16838"/>
          <w:pgMar w:top="1417" w:right="1417" w:bottom="1417" w:left="1417" w:header="708" w:footer="708" w:gutter="0"/>
          <w:cols w:space="708"/>
          <w:docGrid w:linePitch="360"/>
        </w:sectPr>
      </w:pPr>
      <w:r>
        <w:rPr>
          <w:rFonts w:cs="Arial"/>
          <w:b/>
          <w:bCs/>
          <w:color w:val="00B0F0"/>
          <w:sz w:val="24"/>
          <w:szCs w:val="24"/>
        </w:rPr>
        <w:t xml:space="preserve"> </w:t>
      </w:r>
    </w:p>
    <w:p w:rsidR="00A93179" w:rsidRPr="00A84001" w:rsidRDefault="00A93179" w:rsidP="00A93179">
      <w:pPr>
        <w:pStyle w:val="Titre1"/>
        <w:spacing w:after="120"/>
        <w:rPr>
          <w:rFonts w:ascii="Calibri" w:eastAsia="Calibri" w:hAnsi="Calibri" w:cs="Arial"/>
          <w:bCs w:val="0"/>
          <w:color w:val="00B0F0"/>
          <w:sz w:val="24"/>
          <w:szCs w:val="24"/>
        </w:rPr>
      </w:pPr>
      <w:bookmarkStart w:id="1" w:name="_Toc391300290"/>
      <w:r w:rsidRPr="00A84001">
        <w:rPr>
          <w:rFonts w:ascii="Calibri" w:eastAsia="Calibri" w:hAnsi="Calibri" w:cs="Arial"/>
          <w:bCs w:val="0"/>
          <w:color w:val="00B0F0"/>
          <w:sz w:val="24"/>
          <w:szCs w:val="24"/>
        </w:rPr>
        <w:lastRenderedPageBreak/>
        <w:t>I. INTRODUCTION</w:t>
      </w:r>
      <w:bookmarkEnd w:id="1"/>
    </w:p>
    <w:p w:rsidR="00A93179" w:rsidRPr="00B91494" w:rsidRDefault="00A93179" w:rsidP="00A93179">
      <w:pPr>
        <w:spacing w:after="120"/>
        <w:jc w:val="both"/>
        <w:rPr>
          <w:rFonts w:ascii="Calibri" w:eastAsia="Calibri" w:hAnsi="Calibri" w:cs="Times New Roman"/>
          <w:sz w:val="24"/>
          <w:szCs w:val="24"/>
        </w:rPr>
      </w:pPr>
      <w:r w:rsidRPr="00B91494">
        <w:rPr>
          <w:rFonts w:ascii="Calibri" w:eastAsia="Calibri" w:hAnsi="Calibri" w:cs="Times New Roman"/>
          <w:sz w:val="24"/>
          <w:szCs w:val="24"/>
        </w:rPr>
        <w:t>Les principaux indicateurs économiques ci-après portent sur l’évolution, à fin avril 2014, du secteur réel et des prix, des finances publiques, du commerce extérieur et du taux de change, de la mas</w:t>
      </w:r>
      <w:r>
        <w:rPr>
          <w:rFonts w:ascii="Calibri" w:eastAsia="Calibri" w:hAnsi="Calibri" w:cs="Times New Roman"/>
          <w:sz w:val="24"/>
          <w:szCs w:val="24"/>
        </w:rPr>
        <w:t>s</w:t>
      </w:r>
      <w:r w:rsidRPr="00B91494">
        <w:rPr>
          <w:rFonts w:ascii="Calibri" w:eastAsia="Calibri" w:hAnsi="Calibri" w:cs="Times New Roman"/>
          <w:sz w:val="24"/>
          <w:szCs w:val="24"/>
        </w:rPr>
        <w:t>e monétaire et de ses contreparties.</w:t>
      </w:r>
    </w:p>
    <w:p w:rsidR="00A93179" w:rsidRDefault="00A93179" w:rsidP="00A93179">
      <w:pPr>
        <w:spacing w:after="120"/>
        <w:jc w:val="both"/>
        <w:rPr>
          <w:rFonts w:ascii="Calibri" w:eastAsia="Calibri" w:hAnsi="Calibri" w:cs="Times New Roman"/>
          <w:sz w:val="24"/>
          <w:szCs w:val="24"/>
        </w:rPr>
      </w:pPr>
      <w:r w:rsidRPr="00B91494">
        <w:rPr>
          <w:rFonts w:ascii="Calibri" w:eastAsia="Calibri" w:hAnsi="Calibri" w:cs="Times New Roman"/>
          <w:sz w:val="24"/>
          <w:szCs w:val="24"/>
        </w:rPr>
        <w:t xml:space="preserve">En glissement annuel, le secteur réel a été marqué par la progression de la production industrielle et du thé, </w:t>
      </w:r>
      <w:r w:rsidRPr="00030B6A">
        <w:rPr>
          <w:rFonts w:ascii="Calibri" w:eastAsia="Calibri" w:hAnsi="Calibri" w:cs="Times New Roman"/>
          <w:sz w:val="24"/>
          <w:szCs w:val="24"/>
        </w:rPr>
        <w:t>le déficit global des finances publiques s’est approfondi, le solde de la balance</w:t>
      </w:r>
      <w:r w:rsidRPr="00B91494">
        <w:rPr>
          <w:rFonts w:ascii="Calibri" w:eastAsia="Calibri" w:hAnsi="Calibri" w:cs="Times New Roman"/>
          <w:sz w:val="24"/>
          <w:szCs w:val="24"/>
        </w:rPr>
        <w:t xml:space="preserve"> commerciale s’est détérioré et la croissance de la masse monétaire s’est accélérée. </w:t>
      </w:r>
      <w:bookmarkStart w:id="2" w:name="_Toc391300291"/>
    </w:p>
    <w:p w:rsidR="00A93179" w:rsidRPr="00A84001" w:rsidRDefault="00A93179" w:rsidP="00A93179">
      <w:pPr>
        <w:spacing w:after="120"/>
        <w:jc w:val="both"/>
        <w:rPr>
          <w:rFonts w:ascii="Calibri" w:eastAsia="Calibri" w:hAnsi="Calibri" w:cs="Calibri"/>
          <w:b/>
          <w:color w:val="00B0F0"/>
          <w:sz w:val="24"/>
          <w:szCs w:val="24"/>
        </w:rPr>
      </w:pPr>
      <w:r w:rsidRPr="00A84001">
        <w:rPr>
          <w:rFonts w:ascii="Calibri" w:eastAsia="Calibri" w:hAnsi="Calibri" w:cs="Calibri"/>
          <w:b/>
          <w:color w:val="00B0F0"/>
          <w:sz w:val="24"/>
          <w:szCs w:val="24"/>
        </w:rPr>
        <w:t>II. PRODUCTION</w:t>
      </w:r>
      <w:bookmarkEnd w:id="2"/>
    </w:p>
    <w:p w:rsidR="00A93179" w:rsidRPr="00A84001" w:rsidRDefault="00A93179" w:rsidP="00A93179">
      <w:pPr>
        <w:pStyle w:val="Titre2"/>
        <w:spacing w:after="120"/>
        <w:rPr>
          <w:rFonts w:ascii="Calibri" w:eastAsia="Calibri" w:hAnsi="Calibri" w:cs="Calibri"/>
          <w:color w:val="00B0F0"/>
          <w:sz w:val="24"/>
          <w:szCs w:val="24"/>
        </w:rPr>
      </w:pPr>
      <w:bookmarkStart w:id="3" w:name="_Toc391300292"/>
      <w:r w:rsidRPr="00A84001">
        <w:rPr>
          <w:rFonts w:ascii="Calibri" w:eastAsia="Calibri" w:hAnsi="Calibri" w:cs="Calibri"/>
          <w:color w:val="00B0F0"/>
          <w:sz w:val="24"/>
          <w:szCs w:val="24"/>
        </w:rPr>
        <w:t>Indice de la production industrielle</w:t>
      </w:r>
      <w:bookmarkEnd w:id="3"/>
    </w:p>
    <w:p w:rsidR="00A93179" w:rsidRPr="00B91494" w:rsidRDefault="00A93179" w:rsidP="00A93179">
      <w:pPr>
        <w:spacing w:after="120"/>
        <w:jc w:val="both"/>
        <w:rPr>
          <w:rFonts w:ascii="Calibri" w:eastAsia="Calibri" w:hAnsi="Calibri" w:cs="Times New Roman"/>
          <w:sz w:val="24"/>
          <w:szCs w:val="24"/>
        </w:rPr>
      </w:pPr>
      <w:r w:rsidRPr="00B91494">
        <w:rPr>
          <w:rFonts w:ascii="Calibri" w:eastAsia="Calibri" w:hAnsi="Calibri" w:cs="Times New Roman"/>
          <w:sz w:val="24"/>
          <w:szCs w:val="24"/>
        </w:rPr>
        <w:t>La production industrielle du mois d’avril 2014 a augmenté par rapport au mois précédent. En effet, l’indice de la production industrielle s’est accru de 9,9 p.c.</w:t>
      </w:r>
      <w:r>
        <w:rPr>
          <w:rFonts w:ascii="Calibri" w:eastAsia="Calibri" w:hAnsi="Calibri" w:cs="Times New Roman"/>
          <w:sz w:val="24"/>
          <w:szCs w:val="24"/>
        </w:rPr>
        <w:t>,</w:t>
      </w:r>
      <w:r w:rsidRPr="00B91494">
        <w:rPr>
          <w:rFonts w:ascii="Calibri" w:eastAsia="Calibri" w:hAnsi="Calibri" w:cs="Times New Roman"/>
          <w:sz w:val="24"/>
          <w:szCs w:val="24"/>
        </w:rPr>
        <w:t xml:space="preserve"> passant de 90,4 à 99,3, en liaison principalement avec l’augmentation de la production des boissons de la BRARUDI (6,3 p.c.) et de la fabrication de cigarettes (65,6 p.c.).</w:t>
      </w:r>
    </w:p>
    <w:p w:rsidR="00A93179" w:rsidRPr="00B91494" w:rsidRDefault="00A93179" w:rsidP="00A93179">
      <w:pPr>
        <w:widowControl w:val="0"/>
        <w:autoSpaceDE w:val="0"/>
        <w:autoSpaceDN w:val="0"/>
        <w:adjustRightInd w:val="0"/>
        <w:spacing w:after="120"/>
        <w:jc w:val="both"/>
        <w:rPr>
          <w:rFonts w:ascii="Calibri" w:eastAsia="Calibri" w:hAnsi="Calibri" w:cs="Calibri"/>
          <w:sz w:val="24"/>
          <w:szCs w:val="24"/>
        </w:rPr>
      </w:pPr>
      <w:r w:rsidRPr="00B91494">
        <w:rPr>
          <w:rFonts w:ascii="Calibri" w:eastAsia="Calibri" w:hAnsi="Calibri" w:cs="Times New Roman"/>
          <w:sz w:val="24"/>
          <w:szCs w:val="24"/>
        </w:rPr>
        <w:t xml:space="preserve">De même, en glissement annuel, l’indice a progressé de 6,7 p.c. en </w:t>
      </w:r>
      <w:r>
        <w:rPr>
          <w:rFonts w:ascii="Calibri" w:eastAsia="Calibri" w:hAnsi="Calibri" w:cs="Times New Roman"/>
          <w:sz w:val="24"/>
          <w:szCs w:val="24"/>
        </w:rPr>
        <w:t xml:space="preserve">rapport </w:t>
      </w:r>
      <w:r w:rsidRPr="00B91494">
        <w:rPr>
          <w:rFonts w:ascii="Calibri" w:eastAsia="Calibri" w:hAnsi="Calibri" w:cs="Times New Roman"/>
          <w:sz w:val="24"/>
          <w:szCs w:val="24"/>
        </w:rPr>
        <w:t xml:space="preserve">essentiellement </w:t>
      </w:r>
      <w:r>
        <w:rPr>
          <w:rFonts w:ascii="Calibri" w:eastAsia="Calibri" w:hAnsi="Calibri" w:cs="Times New Roman"/>
          <w:sz w:val="24"/>
          <w:szCs w:val="24"/>
        </w:rPr>
        <w:t>avec</w:t>
      </w:r>
      <w:r w:rsidRPr="00B91494">
        <w:rPr>
          <w:rFonts w:ascii="Calibri" w:eastAsia="Calibri" w:hAnsi="Calibri" w:cs="Times New Roman"/>
          <w:sz w:val="24"/>
          <w:szCs w:val="24"/>
        </w:rPr>
        <w:t xml:space="preserve"> l’augmentation de la production de boissons de BRARUDI (2,8 p.c.) et de la fabrication de cigarettes (5,2 p.c.).</w:t>
      </w:r>
    </w:p>
    <w:p w:rsidR="00A93179" w:rsidRPr="00A84001" w:rsidRDefault="00A93179" w:rsidP="00A93179">
      <w:pPr>
        <w:pStyle w:val="Titre2"/>
        <w:spacing w:after="120"/>
        <w:rPr>
          <w:rFonts w:ascii="Calibri" w:eastAsia="Calibri" w:hAnsi="Calibri" w:cs="Times New Roman"/>
          <w:color w:val="00B0F0"/>
          <w:sz w:val="24"/>
          <w:szCs w:val="24"/>
        </w:rPr>
      </w:pPr>
      <w:bookmarkStart w:id="4" w:name="_Toc391300293"/>
      <w:r w:rsidRPr="00A84001">
        <w:rPr>
          <w:rFonts w:ascii="Calibri" w:eastAsia="Calibri" w:hAnsi="Calibri" w:cs="Times New Roman"/>
          <w:color w:val="00B0F0"/>
          <w:sz w:val="24"/>
          <w:szCs w:val="24"/>
        </w:rPr>
        <w:t>Café</w:t>
      </w:r>
      <w:bookmarkEnd w:id="4"/>
    </w:p>
    <w:p w:rsidR="00A93179" w:rsidRDefault="00A93179" w:rsidP="00A93179">
      <w:pPr>
        <w:spacing w:after="120"/>
        <w:jc w:val="both"/>
        <w:rPr>
          <w:rFonts w:ascii="Calibri" w:eastAsia="Calibri" w:hAnsi="Calibri" w:cs="Calibri"/>
          <w:sz w:val="24"/>
          <w:szCs w:val="24"/>
        </w:rPr>
      </w:pPr>
      <w:r w:rsidRPr="00B91494">
        <w:rPr>
          <w:rFonts w:ascii="Calibri" w:eastAsia="Calibri" w:hAnsi="Calibri" w:cs="Calibri"/>
          <w:sz w:val="24"/>
          <w:szCs w:val="24"/>
        </w:rPr>
        <w:t xml:space="preserve">Le mois d’avril 2004 n’a pas enregistré d’apports de café en </w:t>
      </w:r>
      <w:proofErr w:type="spellStart"/>
      <w:r w:rsidRPr="00B91494">
        <w:rPr>
          <w:rFonts w:ascii="Calibri" w:eastAsia="Calibri" w:hAnsi="Calibri" w:cs="Calibri"/>
          <w:sz w:val="24"/>
          <w:szCs w:val="24"/>
        </w:rPr>
        <w:t>parche</w:t>
      </w:r>
      <w:proofErr w:type="spellEnd"/>
      <w:r w:rsidRPr="00B91494">
        <w:rPr>
          <w:rFonts w:ascii="Calibri" w:eastAsia="Calibri" w:hAnsi="Calibri" w:cs="Calibri"/>
          <w:sz w:val="24"/>
          <w:szCs w:val="24"/>
        </w:rPr>
        <w:t xml:space="preserve"> en raison de la clôture de la campagne 2013/2014, </w:t>
      </w:r>
    </w:p>
    <w:p w:rsidR="00A93179" w:rsidRDefault="00A93179" w:rsidP="00A93179">
      <w:pPr>
        <w:spacing w:after="120"/>
        <w:jc w:val="both"/>
        <w:rPr>
          <w:rFonts w:ascii="Calibri" w:eastAsia="Calibri" w:hAnsi="Calibri" w:cs="Calibri"/>
          <w:sz w:val="24"/>
          <w:szCs w:val="24"/>
        </w:rPr>
      </w:pPr>
    </w:p>
    <w:p w:rsidR="00D0436B" w:rsidRDefault="00D0436B" w:rsidP="00A93179">
      <w:pPr>
        <w:spacing w:after="120"/>
        <w:jc w:val="both"/>
        <w:rPr>
          <w:rFonts w:ascii="Calibri" w:eastAsia="Calibri" w:hAnsi="Calibri" w:cs="Calibri"/>
          <w:sz w:val="24"/>
          <w:szCs w:val="24"/>
        </w:rPr>
      </w:pPr>
    </w:p>
    <w:p w:rsidR="00A93179" w:rsidRDefault="00A93179" w:rsidP="00A93179">
      <w:pPr>
        <w:spacing w:after="120"/>
        <w:jc w:val="both"/>
        <w:rPr>
          <w:rFonts w:ascii="Calibri" w:eastAsia="Calibri" w:hAnsi="Calibri" w:cs="Calibri"/>
          <w:sz w:val="24"/>
          <w:szCs w:val="24"/>
        </w:rPr>
      </w:pPr>
      <w:proofErr w:type="gramStart"/>
      <w:r w:rsidRPr="00B91494">
        <w:rPr>
          <w:rFonts w:ascii="Calibri" w:eastAsia="Calibri" w:hAnsi="Calibri" w:cs="Calibri"/>
          <w:sz w:val="24"/>
          <w:szCs w:val="24"/>
        </w:rPr>
        <w:t>ceux</w:t>
      </w:r>
      <w:proofErr w:type="gramEnd"/>
      <w:r w:rsidRPr="00B91494">
        <w:rPr>
          <w:rFonts w:ascii="Calibri" w:eastAsia="Calibri" w:hAnsi="Calibri" w:cs="Calibri"/>
          <w:sz w:val="24"/>
          <w:szCs w:val="24"/>
        </w:rPr>
        <w:t xml:space="preserve"> de la campagne 2014/2015 n’ayant </w:t>
      </w:r>
      <w:r>
        <w:rPr>
          <w:rFonts w:ascii="Calibri" w:eastAsia="Calibri" w:hAnsi="Calibri" w:cs="Calibri"/>
          <w:sz w:val="24"/>
          <w:szCs w:val="24"/>
        </w:rPr>
        <w:t xml:space="preserve"> </w:t>
      </w:r>
      <w:r w:rsidRPr="00B91494">
        <w:rPr>
          <w:rFonts w:ascii="Calibri" w:eastAsia="Calibri" w:hAnsi="Calibri" w:cs="Calibri"/>
          <w:sz w:val="24"/>
          <w:szCs w:val="24"/>
        </w:rPr>
        <w:t xml:space="preserve">pas encore commencé. </w:t>
      </w:r>
    </w:p>
    <w:p w:rsidR="00A93179" w:rsidRPr="00B91494" w:rsidRDefault="00A93179" w:rsidP="00A93179">
      <w:pPr>
        <w:spacing w:after="120"/>
        <w:jc w:val="both"/>
        <w:rPr>
          <w:rFonts w:ascii="Calibri" w:eastAsia="Calibri" w:hAnsi="Calibri" w:cs="Calibri"/>
          <w:sz w:val="24"/>
          <w:szCs w:val="24"/>
        </w:rPr>
      </w:pPr>
      <w:r>
        <w:rPr>
          <w:rFonts w:ascii="Calibri" w:eastAsia="Calibri" w:hAnsi="Calibri" w:cs="Calibri"/>
          <w:sz w:val="24"/>
          <w:szCs w:val="24"/>
        </w:rPr>
        <w:t>Selon le</w:t>
      </w:r>
      <w:r w:rsidRPr="00B91494">
        <w:rPr>
          <w:rFonts w:ascii="Calibri" w:eastAsia="Calibri" w:hAnsi="Calibri" w:cs="Calibri"/>
          <w:sz w:val="24"/>
          <w:szCs w:val="24"/>
        </w:rPr>
        <w:t>s prévisions</w:t>
      </w:r>
      <w:r>
        <w:rPr>
          <w:rFonts w:ascii="Calibri" w:eastAsia="Calibri" w:hAnsi="Calibri" w:cs="Calibri"/>
          <w:sz w:val="24"/>
          <w:szCs w:val="24"/>
        </w:rPr>
        <w:t>,</w:t>
      </w:r>
      <w:r w:rsidRPr="00B91494">
        <w:rPr>
          <w:rFonts w:ascii="Calibri" w:eastAsia="Calibri" w:hAnsi="Calibri" w:cs="Calibri"/>
          <w:sz w:val="24"/>
          <w:szCs w:val="24"/>
        </w:rPr>
        <w:t xml:space="preserve"> le volume de café </w:t>
      </w:r>
      <w:proofErr w:type="spellStart"/>
      <w:r w:rsidRPr="00B91494">
        <w:rPr>
          <w:rFonts w:ascii="Calibri" w:eastAsia="Calibri" w:hAnsi="Calibri" w:cs="Calibri"/>
          <w:sz w:val="24"/>
          <w:szCs w:val="24"/>
        </w:rPr>
        <w:t>parche</w:t>
      </w:r>
      <w:proofErr w:type="spellEnd"/>
      <w:r w:rsidRPr="00B91494">
        <w:rPr>
          <w:rFonts w:ascii="Calibri" w:eastAsia="Calibri" w:hAnsi="Calibri" w:cs="Calibri"/>
          <w:sz w:val="24"/>
          <w:szCs w:val="24"/>
        </w:rPr>
        <w:t xml:space="preserve"> de cette nouvelle campagne</w:t>
      </w:r>
      <w:r>
        <w:rPr>
          <w:rFonts w:ascii="Calibri" w:eastAsia="Calibri" w:hAnsi="Calibri" w:cs="Calibri"/>
          <w:sz w:val="24"/>
          <w:szCs w:val="24"/>
        </w:rPr>
        <w:t xml:space="preserve"> </w:t>
      </w:r>
      <w:r w:rsidRPr="00B91494">
        <w:rPr>
          <w:rFonts w:ascii="Calibri" w:eastAsia="Calibri" w:hAnsi="Calibri" w:cs="Calibri"/>
          <w:sz w:val="24"/>
          <w:szCs w:val="24"/>
        </w:rPr>
        <w:t>s’élèverait à 27.730 contre 14.153 T la campagne écoulée, soit une hausse de 13.577 T liée à la cyclicité</w:t>
      </w:r>
      <w:r>
        <w:rPr>
          <w:rFonts w:ascii="Calibri" w:eastAsia="Calibri" w:hAnsi="Calibri" w:cs="Calibri"/>
          <w:sz w:val="24"/>
          <w:szCs w:val="24"/>
        </w:rPr>
        <w:t xml:space="preserve"> de la production </w:t>
      </w:r>
      <w:r w:rsidRPr="00B91494">
        <w:rPr>
          <w:rFonts w:ascii="Calibri" w:eastAsia="Calibri" w:hAnsi="Calibri" w:cs="Calibri"/>
          <w:sz w:val="24"/>
          <w:szCs w:val="24"/>
        </w:rPr>
        <w:t xml:space="preserve">du caféier. </w:t>
      </w:r>
    </w:p>
    <w:p w:rsidR="00A93179" w:rsidRPr="00A84001" w:rsidRDefault="00A93179" w:rsidP="00A93179">
      <w:pPr>
        <w:pStyle w:val="Titre2"/>
        <w:rPr>
          <w:rFonts w:ascii="Calibri" w:eastAsia="Calibri" w:hAnsi="Calibri" w:cs="Times New Roman"/>
          <w:bCs w:val="0"/>
          <w:color w:val="00B0F0"/>
          <w:sz w:val="24"/>
          <w:szCs w:val="24"/>
        </w:rPr>
      </w:pPr>
      <w:bookmarkStart w:id="5" w:name="_Toc391300294"/>
      <w:r w:rsidRPr="00A84001">
        <w:rPr>
          <w:rFonts w:ascii="Calibri" w:eastAsia="Calibri" w:hAnsi="Calibri" w:cs="Times New Roman"/>
          <w:bCs w:val="0"/>
          <w:color w:val="00B0F0"/>
          <w:sz w:val="24"/>
          <w:szCs w:val="24"/>
        </w:rPr>
        <w:t>Thé</w:t>
      </w:r>
      <w:bookmarkEnd w:id="5"/>
    </w:p>
    <w:p w:rsidR="00A93179" w:rsidRDefault="00A93179" w:rsidP="00A93179">
      <w:pPr>
        <w:spacing w:after="120"/>
        <w:jc w:val="both"/>
        <w:rPr>
          <w:rFonts w:ascii="Calibri" w:eastAsia="Calibri" w:hAnsi="Calibri" w:cs="Calibri"/>
          <w:sz w:val="24"/>
          <w:szCs w:val="24"/>
        </w:rPr>
      </w:pPr>
      <w:r w:rsidRPr="00B91494">
        <w:rPr>
          <w:rFonts w:ascii="Calibri" w:eastAsia="Calibri" w:hAnsi="Calibri" w:cs="Calibri"/>
          <w:sz w:val="24"/>
          <w:szCs w:val="24"/>
        </w:rPr>
        <w:t>La production de thé en feuilles vertes du mois d’avril 2014 a progressé de 8,1 p .c. par rapport au mois précédent, s’établissant à 5.758 contre 5.327 T. En glissement a</w:t>
      </w:r>
      <w:r>
        <w:rPr>
          <w:rFonts w:ascii="Calibri" w:eastAsia="Calibri" w:hAnsi="Calibri" w:cs="Calibri"/>
          <w:sz w:val="24"/>
          <w:szCs w:val="24"/>
        </w:rPr>
        <w:t xml:space="preserve">nnuel, la production cumulée a </w:t>
      </w:r>
      <w:r w:rsidRPr="00B91494">
        <w:rPr>
          <w:rFonts w:ascii="Calibri" w:eastAsia="Calibri" w:hAnsi="Calibri" w:cs="Calibri"/>
          <w:sz w:val="24"/>
          <w:szCs w:val="24"/>
        </w:rPr>
        <w:t>augmenté de 4,</w:t>
      </w:r>
      <w:r>
        <w:rPr>
          <w:rFonts w:ascii="Calibri" w:eastAsia="Calibri" w:hAnsi="Calibri" w:cs="Calibri"/>
          <w:sz w:val="24"/>
          <w:szCs w:val="24"/>
        </w:rPr>
        <w:t>3</w:t>
      </w:r>
      <w:r w:rsidRPr="00B91494">
        <w:rPr>
          <w:rFonts w:ascii="Calibri" w:eastAsia="Calibri" w:hAnsi="Calibri" w:cs="Calibri"/>
          <w:sz w:val="24"/>
          <w:szCs w:val="24"/>
        </w:rPr>
        <w:t xml:space="preserve"> p.c.</w:t>
      </w:r>
      <w:r>
        <w:rPr>
          <w:rFonts w:ascii="Calibri" w:eastAsia="Calibri" w:hAnsi="Calibri" w:cs="Calibri"/>
          <w:sz w:val="24"/>
          <w:szCs w:val="24"/>
        </w:rPr>
        <w:t>,</w:t>
      </w:r>
      <w:r w:rsidRPr="00B91494">
        <w:rPr>
          <w:rFonts w:ascii="Calibri" w:eastAsia="Calibri" w:hAnsi="Calibri" w:cs="Calibri"/>
          <w:sz w:val="24"/>
          <w:szCs w:val="24"/>
        </w:rPr>
        <w:t xml:space="preserve"> passant de 19.229 à 20.059 T</w:t>
      </w:r>
      <w:r>
        <w:rPr>
          <w:rFonts w:ascii="Calibri" w:eastAsia="Calibri" w:hAnsi="Calibri" w:cs="Calibri"/>
          <w:sz w:val="24"/>
          <w:szCs w:val="24"/>
        </w:rPr>
        <w:t>,</w:t>
      </w:r>
      <w:r w:rsidRPr="00B91494">
        <w:rPr>
          <w:rFonts w:ascii="Calibri" w:eastAsia="Calibri" w:hAnsi="Calibri" w:cs="Calibri"/>
          <w:sz w:val="24"/>
          <w:szCs w:val="24"/>
        </w:rPr>
        <w:t xml:space="preserve"> </w:t>
      </w:r>
      <w:r>
        <w:rPr>
          <w:rFonts w:ascii="Calibri" w:eastAsia="Calibri" w:hAnsi="Calibri" w:cs="Calibri"/>
          <w:sz w:val="24"/>
          <w:szCs w:val="24"/>
        </w:rPr>
        <w:t xml:space="preserve">grâce à une </w:t>
      </w:r>
      <w:r w:rsidRPr="00B91494">
        <w:rPr>
          <w:rFonts w:ascii="Calibri" w:eastAsia="Calibri" w:hAnsi="Calibri" w:cs="Calibri"/>
          <w:sz w:val="24"/>
          <w:szCs w:val="24"/>
        </w:rPr>
        <w:t>bonne pluviosité.</w:t>
      </w:r>
      <w:bookmarkStart w:id="6" w:name="_Toc391300295"/>
    </w:p>
    <w:p w:rsidR="00A93179" w:rsidRPr="002626CE" w:rsidRDefault="00A93179" w:rsidP="00A93179">
      <w:pPr>
        <w:spacing w:after="120" w:line="240" w:lineRule="auto"/>
        <w:jc w:val="both"/>
        <w:rPr>
          <w:b/>
          <w:color w:val="00B0F0"/>
          <w:sz w:val="24"/>
          <w:szCs w:val="24"/>
        </w:rPr>
      </w:pPr>
      <w:r w:rsidRPr="002626CE">
        <w:rPr>
          <w:b/>
          <w:color w:val="00B0F0"/>
          <w:sz w:val="24"/>
          <w:szCs w:val="24"/>
        </w:rPr>
        <w:t>III.</w:t>
      </w:r>
      <w:r>
        <w:rPr>
          <w:b/>
          <w:color w:val="00B0F0"/>
          <w:sz w:val="24"/>
          <w:szCs w:val="24"/>
        </w:rPr>
        <w:t xml:space="preserve"> </w:t>
      </w:r>
      <w:r w:rsidRPr="00E01557">
        <w:rPr>
          <w:b/>
          <w:color w:val="00B0F0"/>
        </w:rPr>
        <w:t>INDICE DES PRIX A LA CONSOMMATION</w:t>
      </w:r>
      <w:bookmarkEnd w:id="6"/>
    </w:p>
    <w:p w:rsidR="00A93179" w:rsidRDefault="00A93179" w:rsidP="00A93179">
      <w:pPr>
        <w:spacing w:after="120"/>
        <w:jc w:val="both"/>
        <w:rPr>
          <w:sz w:val="24"/>
          <w:szCs w:val="24"/>
        </w:rPr>
      </w:pPr>
      <w:r w:rsidRPr="00B91494">
        <w:rPr>
          <w:sz w:val="24"/>
          <w:szCs w:val="24"/>
        </w:rPr>
        <w:t xml:space="preserve">L’indice des prix à la consommation </w:t>
      </w:r>
      <w:r>
        <w:rPr>
          <w:sz w:val="24"/>
          <w:szCs w:val="24"/>
        </w:rPr>
        <w:t>d</w:t>
      </w:r>
      <w:r w:rsidRPr="00B91494">
        <w:rPr>
          <w:sz w:val="24"/>
          <w:szCs w:val="24"/>
        </w:rPr>
        <w:t xml:space="preserve">u mois d’avril 2014 </w:t>
      </w:r>
      <w:r>
        <w:rPr>
          <w:sz w:val="24"/>
          <w:szCs w:val="24"/>
        </w:rPr>
        <w:t>s’est établi</w:t>
      </w:r>
      <w:r w:rsidRPr="00B91494">
        <w:rPr>
          <w:sz w:val="24"/>
          <w:szCs w:val="24"/>
        </w:rPr>
        <w:t xml:space="preserve"> à 101,6 contre 97,0 </w:t>
      </w:r>
      <w:r>
        <w:rPr>
          <w:sz w:val="24"/>
          <w:szCs w:val="24"/>
        </w:rPr>
        <w:t>à</w:t>
      </w:r>
      <w:r w:rsidRPr="00B91494">
        <w:rPr>
          <w:sz w:val="24"/>
          <w:szCs w:val="24"/>
        </w:rPr>
        <w:t xml:space="preserve"> la mê</w:t>
      </w:r>
      <w:r w:rsidR="00B91779">
        <w:rPr>
          <w:sz w:val="24"/>
          <w:szCs w:val="24"/>
        </w:rPr>
        <w:t xml:space="preserve">me période de l’année précédente traduisant </w:t>
      </w:r>
      <w:r w:rsidRPr="00B91494">
        <w:rPr>
          <w:sz w:val="24"/>
          <w:szCs w:val="24"/>
        </w:rPr>
        <w:t xml:space="preserve">une inflation de 4,7 contre 3,2 p.c. </w:t>
      </w:r>
      <w:r w:rsidR="00B91779">
        <w:rPr>
          <w:sz w:val="24"/>
          <w:szCs w:val="24"/>
        </w:rPr>
        <w:t>cette inflation est lié à la hausse des prix des produits non alimentaires(7 ,6 contre 5,0 p.c.).</w:t>
      </w:r>
    </w:p>
    <w:p w:rsidR="00A93179" w:rsidRPr="00B91494" w:rsidRDefault="00A93179" w:rsidP="00A93179">
      <w:pPr>
        <w:spacing w:after="120"/>
        <w:jc w:val="both"/>
        <w:rPr>
          <w:sz w:val="24"/>
          <w:szCs w:val="24"/>
        </w:rPr>
      </w:pPr>
      <w:r w:rsidRPr="00B91494">
        <w:rPr>
          <w:sz w:val="24"/>
          <w:szCs w:val="24"/>
        </w:rPr>
        <w:t xml:space="preserve">L’inflation du secteur « hors alimentation » </w:t>
      </w:r>
      <w:r w:rsidR="00B91779">
        <w:rPr>
          <w:sz w:val="24"/>
          <w:szCs w:val="24"/>
        </w:rPr>
        <w:t xml:space="preserve">est due à la hausse des prix des </w:t>
      </w:r>
      <w:r>
        <w:rPr>
          <w:sz w:val="24"/>
          <w:szCs w:val="24"/>
        </w:rPr>
        <w:t xml:space="preserve"> </w:t>
      </w:r>
      <w:r w:rsidRPr="00B91494">
        <w:rPr>
          <w:sz w:val="24"/>
          <w:szCs w:val="24"/>
        </w:rPr>
        <w:t>divisions</w:t>
      </w:r>
      <w:r w:rsidR="00B91779">
        <w:rPr>
          <w:sz w:val="24"/>
          <w:szCs w:val="24"/>
        </w:rPr>
        <w:t xml:space="preserve"> de ce groupe comme </w:t>
      </w:r>
      <w:r w:rsidRPr="00B91494">
        <w:rPr>
          <w:sz w:val="24"/>
          <w:szCs w:val="24"/>
        </w:rPr>
        <w:t> « articles d’habillement et articles chaussants » (7,0 contre 0,2 p.c.), « logement, eau, électricité, gaz et autres combustibles »</w:t>
      </w:r>
      <w:r>
        <w:rPr>
          <w:sz w:val="24"/>
          <w:szCs w:val="24"/>
        </w:rPr>
        <w:t xml:space="preserve"> </w:t>
      </w:r>
      <w:r w:rsidRPr="00B91494">
        <w:rPr>
          <w:sz w:val="24"/>
          <w:szCs w:val="24"/>
        </w:rPr>
        <w:t>(8,9 contre 6,6 p.c.), « Ameublement</w:t>
      </w:r>
      <w:r>
        <w:rPr>
          <w:sz w:val="24"/>
          <w:szCs w:val="24"/>
        </w:rPr>
        <w:t xml:space="preserve"> </w:t>
      </w:r>
      <w:r w:rsidRPr="00B91494">
        <w:rPr>
          <w:sz w:val="24"/>
          <w:szCs w:val="24"/>
        </w:rPr>
        <w:t>équipement ménager et entretien courant de la maison »</w:t>
      </w:r>
      <w:r>
        <w:rPr>
          <w:sz w:val="24"/>
          <w:szCs w:val="24"/>
        </w:rPr>
        <w:t xml:space="preserve"> </w:t>
      </w:r>
      <w:r w:rsidRPr="00B91494">
        <w:rPr>
          <w:sz w:val="24"/>
          <w:szCs w:val="24"/>
        </w:rPr>
        <w:t>(24,</w:t>
      </w:r>
      <w:r>
        <w:rPr>
          <w:sz w:val="24"/>
          <w:szCs w:val="24"/>
        </w:rPr>
        <w:t>0</w:t>
      </w:r>
      <w:r w:rsidRPr="00B91494">
        <w:rPr>
          <w:sz w:val="24"/>
          <w:szCs w:val="24"/>
        </w:rPr>
        <w:t xml:space="preserve"> contre 3,5 p.c.), « santé »</w:t>
      </w:r>
      <w:r>
        <w:rPr>
          <w:sz w:val="24"/>
          <w:szCs w:val="24"/>
        </w:rPr>
        <w:t xml:space="preserve"> </w:t>
      </w:r>
      <w:r w:rsidRPr="00B91494">
        <w:rPr>
          <w:sz w:val="24"/>
          <w:szCs w:val="24"/>
        </w:rPr>
        <w:t xml:space="preserve">(8,0 contre 0 p.c.), « transport » (9,6 contre 5,5 p.c.) et « loisirs et culture », (2,4 contre -13,7 p.c.). </w:t>
      </w:r>
    </w:p>
    <w:p w:rsidR="00A93179" w:rsidRPr="00B91494" w:rsidRDefault="00A93179" w:rsidP="00A93179">
      <w:pPr>
        <w:jc w:val="both"/>
        <w:rPr>
          <w:b/>
          <w:color w:val="00B0F0"/>
          <w:sz w:val="24"/>
          <w:szCs w:val="24"/>
        </w:rPr>
      </w:pPr>
    </w:p>
    <w:p w:rsidR="00A93179" w:rsidRPr="00B91494" w:rsidRDefault="00A93179" w:rsidP="00A93179">
      <w:pPr>
        <w:spacing w:line="240" w:lineRule="auto"/>
        <w:jc w:val="both"/>
        <w:rPr>
          <w:b/>
          <w:color w:val="00B0F0"/>
          <w:sz w:val="24"/>
          <w:szCs w:val="24"/>
        </w:rPr>
      </w:pPr>
      <w:r w:rsidRPr="00B91494">
        <w:rPr>
          <w:b/>
          <w:color w:val="00B0F0"/>
          <w:sz w:val="24"/>
          <w:szCs w:val="24"/>
        </w:rPr>
        <w:lastRenderedPageBreak/>
        <w:t>Indice des prix à la consommation (Base Déc. 2013 = 100)</w:t>
      </w:r>
    </w:p>
    <w:p w:rsidR="00A93179" w:rsidRPr="00B91494" w:rsidRDefault="00A93179" w:rsidP="00A93179">
      <w:pPr>
        <w:jc w:val="both"/>
        <w:rPr>
          <w:sz w:val="24"/>
          <w:szCs w:val="24"/>
        </w:rPr>
      </w:pPr>
      <w:r w:rsidRPr="00B91494">
        <w:rPr>
          <w:sz w:val="24"/>
          <w:szCs w:val="24"/>
        </w:rPr>
        <w:object w:dxaOrig="9314" w:dyaOrig="3728">
          <v:shape id="_x0000_i1026" type="#_x0000_t75" style="width:198pt;height:168.75pt" o:ole="">
            <v:imagedata r:id="rId12" o:title=""/>
          </v:shape>
          <o:OLEObject Type="Embed" ProgID="Excel.Sheet.8" ShapeID="_x0000_i1026" DrawAspect="Content" ObjectID="_1467091174" r:id="rId13"/>
        </w:object>
      </w:r>
    </w:p>
    <w:p w:rsidR="00A93179" w:rsidRPr="00B91494" w:rsidRDefault="00A93179" w:rsidP="00A93179">
      <w:pPr>
        <w:spacing w:after="120"/>
        <w:jc w:val="both"/>
        <w:rPr>
          <w:sz w:val="24"/>
          <w:szCs w:val="24"/>
        </w:rPr>
      </w:pPr>
      <w:r w:rsidRPr="00B91494">
        <w:rPr>
          <w:sz w:val="24"/>
          <w:szCs w:val="24"/>
        </w:rPr>
        <w:t>Par rapport au mois précédent, l’indice général des prix à la consommation</w:t>
      </w:r>
      <w:r>
        <w:rPr>
          <w:sz w:val="24"/>
          <w:szCs w:val="24"/>
        </w:rPr>
        <w:t xml:space="preserve"> s’</w:t>
      </w:r>
      <w:r w:rsidRPr="00B91494">
        <w:rPr>
          <w:sz w:val="24"/>
          <w:szCs w:val="24"/>
        </w:rPr>
        <w:t xml:space="preserve">est </w:t>
      </w:r>
      <w:r w:rsidR="00BD4A34">
        <w:rPr>
          <w:sz w:val="24"/>
          <w:szCs w:val="24"/>
        </w:rPr>
        <w:t>élevé de 0 ,2 p.c.</w:t>
      </w:r>
      <w:r w:rsidR="00BD4A34" w:rsidRPr="00BD4A34">
        <w:rPr>
          <w:sz w:val="24"/>
          <w:szCs w:val="24"/>
        </w:rPr>
        <w:t xml:space="preserve"> </w:t>
      </w:r>
      <w:r w:rsidR="00BD4A34">
        <w:rPr>
          <w:sz w:val="24"/>
          <w:szCs w:val="24"/>
        </w:rPr>
        <w:t xml:space="preserve">101,4 à </w:t>
      </w:r>
      <w:r>
        <w:rPr>
          <w:sz w:val="24"/>
          <w:szCs w:val="24"/>
        </w:rPr>
        <w:t>101,6.</w:t>
      </w:r>
      <w:r w:rsidR="00BD4A34">
        <w:rPr>
          <w:sz w:val="24"/>
          <w:szCs w:val="24"/>
        </w:rPr>
        <w:t>cette progression a concerné uniquement les produits du groupe « </w:t>
      </w:r>
      <w:r w:rsidR="00933213">
        <w:rPr>
          <w:sz w:val="24"/>
          <w:szCs w:val="24"/>
        </w:rPr>
        <w:t>hors alimentation » (+0,4 p.c.).</w:t>
      </w:r>
    </w:p>
    <w:p w:rsidR="00A93179" w:rsidRPr="00A84001" w:rsidRDefault="00A93179" w:rsidP="00A93179">
      <w:pPr>
        <w:pStyle w:val="Titre1"/>
        <w:spacing w:line="240" w:lineRule="auto"/>
        <w:rPr>
          <w:rFonts w:ascii="Calibri" w:eastAsia="Calibri" w:hAnsi="Calibri" w:cs="Times New Roman"/>
          <w:color w:val="00B0F0"/>
          <w:sz w:val="24"/>
          <w:szCs w:val="24"/>
        </w:rPr>
      </w:pPr>
      <w:bookmarkStart w:id="7" w:name="_Toc391300296"/>
      <w:r w:rsidRPr="00A84001">
        <w:rPr>
          <w:rFonts w:ascii="Calibri" w:eastAsia="Calibri" w:hAnsi="Calibri" w:cs="Times New Roman"/>
          <w:color w:val="00B0F0"/>
          <w:sz w:val="24"/>
          <w:szCs w:val="24"/>
        </w:rPr>
        <w:t>IV. FINANCES PUBLIQUES</w:t>
      </w:r>
      <w:bookmarkEnd w:id="7"/>
    </w:p>
    <w:p w:rsidR="00A93179" w:rsidRPr="00B91494" w:rsidRDefault="00A93179" w:rsidP="00A93179">
      <w:pPr>
        <w:pStyle w:val="Titre2"/>
        <w:spacing w:after="120" w:line="240" w:lineRule="auto"/>
        <w:rPr>
          <w:rFonts w:ascii="Calibri" w:eastAsia="Calibri" w:hAnsi="Calibri" w:cs="Times New Roman"/>
          <w:b w:val="0"/>
          <w:color w:val="00B0F0"/>
          <w:sz w:val="24"/>
          <w:szCs w:val="24"/>
        </w:rPr>
      </w:pPr>
      <w:bookmarkStart w:id="8" w:name="_Toc391300297"/>
      <w:r w:rsidRPr="00A84001">
        <w:rPr>
          <w:rFonts w:ascii="Calibri" w:eastAsia="Calibri" w:hAnsi="Calibri" w:cs="Times New Roman"/>
          <w:color w:val="00B0F0"/>
          <w:sz w:val="24"/>
          <w:szCs w:val="24"/>
        </w:rPr>
        <w:t>Recettes</w:t>
      </w:r>
      <w:bookmarkEnd w:id="8"/>
      <w:r w:rsidRPr="00B91494">
        <w:rPr>
          <w:rFonts w:ascii="Calibri" w:eastAsia="Calibri" w:hAnsi="Calibri" w:cs="Times New Roman"/>
          <w:b w:val="0"/>
          <w:color w:val="00B0F0"/>
          <w:sz w:val="24"/>
          <w:szCs w:val="24"/>
        </w:rPr>
        <w:t xml:space="preserve"> </w:t>
      </w:r>
    </w:p>
    <w:p w:rsidR="00A93179" w:rsidRPr="00B91494" w:rsidRDefault="00A93179" w:rsidP="00A93179">
      <w:pPr>
        <w:spacing w:after="120"/>
        <w:jc w:val="both"/>
        <w:rPr>
          <w:rFonts w:ascii="Calibri" w:eastAsia="Calibri" w:hAnsi="Calibri" w:cs="Times New Roman"/>
          <w:sz w:val="24"/>
          <w:szCs w:val="24"/>
        </w:rPr>
      </w:pPr>
      <w:r w:rsidRPr="00B4031E">
        <w:rPr>
          <w:rFonts w:ascii="Calibri" w:eastAsia="Calibri" w:hAnsi="Calibri" w:cs="Times New Roman"/>
          <w:sz w:val="24"/>
          <w:szCs w:val="24"/>
        </w:rPr>
        <w:t>Les recettes cumulées</w:t>
      </w:r>
      <w:r w:rsidRPr="00B91494">
        <w:rPr>
          <w:rFonts w:ascii="Calibri" w:eastAsia="Calibri" w:hAnsi="Calibri" w:cs="Times New Roman"/>
          <w:sz w:val="24"/>
          <w:szCs w:val="24"/>
        </w:rPr>
        <w:t xml:space="preserve"> à fin avril  2014 s’élève</w:t>
      </w:r>
      <w:r>
        <w:rPr>
          <w:rFonts w:ascii="Calibri" w:eastAsia="Calibri" w:hAnsi="Calibri" w:cs="Times New Roman"/>
          <w:sz w:val="24"/>
          <w:szCs w:val="24"/>
        </w:rPr>
        <w:t>nt</w:t>
      </w:r>
      <w:r w:rsidRPr="00B91494">
        <w:rPr>
          <w:rFonts w:ascii="Calibri" w:eastAsia="Calibri" w:hAnsi="Calibri" w:cs="Times New Roman"/>
          <w:sz w:val="24"/>
          <w:szCs w:val="24"/>
        </w:rPr>
        <w:t xml:space="preserve"> à 205.515,2 contre 183.220,0 MBIF à la même période de l’année précédente, soit une </w:t>
      </w:r>
      <w:r>
        <w:rPr>
          <w:rFonts w:ascii="Calibri" w:eastAsia="Calibri" w:hAnsi="Calibri" w:cs="Times New Roman"/>
          <w:sz w:val="24"/>
          <w:szCs w:val="24"/>
        </w:rPr>
        <w:t>hausse</w:t>
      </w:r>
      <w:r w:rsidRPr="00B91494">
        <w:rPr>
          <w:rFonts w:ascii="Calibri" w:eastAsia="Calibri" w:hAnsi="Calibri" w:cs="Times New Roman"/>
          <w:sz w:val="24"/>
          <w:szCs w:val="24"/>
        </w:rPr>
        <w:t xml:space="preserve"> de 22.295,2 MBIF (12,2 p.c.). Cet accroissement a concerné les recettes non fiscales (+21.328,8</w:t>
      </w:r>
      <w:r>
        <w:rPr>
          <w:rFonts w:ascii="Calibri" w:eastAsia="Calibri" w:hAnsi="Calibri" w:cs="Times New Roman"/>
          <w:sz w:val="24"/>
          <w:szCs w:val="24"/>
        </w:rPr>
        <w:t xml:space="preserve"> </w:t>
      </w:r>
      <w:r w:rsidRPr="00B91494">
        <w:rPr>
          <w:rFonts w:ascii="Calibri" w:eastAsia="Calibri" w:hAnsi="Calibri" w:cs="Times New Roman"/>
          <w:sz w:val="24"/>
          <w:szCs w:val="24"/>
        </w:rPr>
        <w:t>MBIF) et exceptionnelles (+973,9 MBIF</w:t>
      </w:r>
      <w:r>
        <w:rPr>
          <w:rFonts w:ascii="Calibri" w:eastAsia="Calibri" w:hAnsi="Calibri" w:cs="Times New Roman"/>
          <w:sz w:val="24"/>
          <w:szCs w:val="24"/>
        </w:rPr>
        <w:t>)</w:t>
      </w:r>
      <w:r w:rsidRPr="00B91494">
        <w:rPr>
          <w:rFonts w:ascii="Calibri" w:eastAsia="Calibri" w:hAnsi="Calibri" w:cs="Times New Roman"/>
          <w:sz w:val="24"/>
          <w:szCs w:val="24"/>
        </w:rPr>
        <w:t xml:space="preserve">, les recettes fiscales (-7,6 MBIF)) ayant </w:t>
      </w:r>
      <w:r>
        <w:rPr>
          <w:rFonts w:ascii="Calibri" w:eastAsia="Calibri" w:hAnsi="Calibri" w:cs="Times New Roman"/>
          <w:sz w:val="24"/>
          <w:szCs w:val="24"/>
        </w:rPr>
        <w:t xml:space="preserve">légèrement </w:t>
      </w:r>
      <w:r w:rsidRPr="00B91494">
        <w:rPr>
          <w:rFonts w:ascii="Calibri" w:eastAsia="Calibri" w:hAnsi="Calibri" w:cs="Times New Roman"/>
          <w:sz w:val="24"/>
          <w:szCs w:val="24"/>
        </w:rPr>
        <w:t xml:space="preserve">baissé. </w:t>
      </w:r>
    </w:p>
    <w:p w:rsidR="00A93179" w:rsidRPr="00B91494" w:rsidRDefault="00A93179" w:rsidP="00A93179">
      <w:pPr>
        <w:jc w:val="both"/>
        <w:rPr>
          <w:rFonts w:ascii="Calibri" w:eastAsia="Calibri" w:hAnsi="Calibri" w:cs="Times New Roman"/>
          <w:sz w:val="24"/>
          <w:szCs w:val="24"/>
        </w:rPr>
      </w:pPr>
      <w:r w:rsidRPr="00B91494">
        <w:rPr>
          <w:rFonts w:ascii="Calibri" w:eastAsia="Calibri" w:hAnsi="Calibri" w:cs="Times New Roman"/>
          <w:sz w:val="24"/>
          <w:szCs w:val="24"/>
        </w:rPr>
        <w:t>Comparées à celles du mois précédent, les recettes du mois d’avril 2014 se sont accrues de 16.547,9 MBIF, passant de 46.912,7 à 63.450,6 MBIF</w:t>
      </w:r>
      <w:r>
        <w:rPr>
          <w:rFonts w:ascii="Calibri" w:eastAsia="Calibri" w:hAnsi="Calibri" w:cs="Times New Roman"/>
          <w:sz w:val="24"/>
          <w:szCs w:val="24"/>
        </w:rPr>
        <w:t>,</w:t>
      </w:r>
      <w:r w:rsidRPr="00B91494">
        <w:rPr>
          <w:rFonts w:ascii="Calibri" w:eastAsia="Calibri" w:hAnsi="Calibri" w:cs="Times New Roman"/>
          <w:sz w:val="24"/>
          <w:szCs w:val="24"/>
        </w:rPr>
        <w:t xml:space="preserve"> sous l’effet principalement </w:t>
      </w:r>
      <w:r>
        <w:rPr>
          <w:rFonts w:ascii="Calibri" w:eastAsia="Calibri" w:hAnsi="Calibri" w:cs="Times New Roman"/>
          <w:sz w:val="24"/>
          <w:szCs w:val="24"/>
        </w:rPr>
        <w:t xml:space="preserve">de l’augmentation des recettes </w:t>
      </w:r>
      <w:r w:rsidRPr="00B91494">
        <w:rPr>
          <w:rFonts w:ascii="Calibri" w:eastAsia="Calibri" w:hAnsi="Calibri" w:cs="Times New Roman"/>
          <w:sz w:val="24"/>
          <w:szCs w:val="24"/>
        </w:rPr>
        <w:t xml:space="preserve">non fiscales (+17.916,9 MBIF) liée à l’achat d’une licence d’exploitation par l’entreprise </w:t>
      </w:r>
      <w:proofErr w:type="spellStart"/>
      <w:r w:rsidRPr="00B91494">
        <w:rPr>
          <w:rFonts w:ascii="Calibri" w:eastAsia="Calibri" w:hAnsi="Calibri" w:cs="Times New Roman"/>
          <w:sz w:val="24"/>
          <w:szCs w:val="24"/>
        </w:rPr>
        <w:t>Vietel</w:t>
      </w:r>
      <w:proofErr w:type="spellEnd"/>
      <w:r w:rsidRPr="00B91494">
        <w:rPr>
          <w:rFonts w:ascii="Calibri" w:eastAsia="Calibri" w:hAnsi="Calibri" w:cs="Times New Roman"/>
          <w:sz w:val="24"/>
          <w:szCs w:val="24"/>
        </w:rPr>
        <w:t xml:space="preserve">. </w:t>
      </w:r>
      <w:r>
        <w:rPr>
          <w:rFonts w:ascii="Calibri" w:eastAsia="Calibri" w:hAnsi="Calibri" w:cs="Times New Roman"/>
          <w:sz w:val="24"/>
          <w:szCs w:val="24"/>
        </w:rPr>
        <w:t>Pour leur part, l</w:t>
      </w:r>
      <w:r w:rsidRPr="00B91494">
        <w:rPr>
          <w:rFonts w:ascii="Calibri" w:eastAsia="Calibri" w:hAnsi="Calibri" w:cs="Times New Roman"/>
          <w:sz w:val="24"/>
          <w:szCs w:val="24"/>
        </w:rPr>
        <w:t xml:space="preserve">es recettes fiscales n’ont progressé que de </w:t>
      </w:r>
      <w:r w:rsidRPr="00B91494">
        <w:rPr>
          <w:rFonts w:ascii="Calibri" w:eastAsia="Calibri" w:hAnsi="Calibri" w:cs="Times New Roman"/>
          <w:sz w:val="24"/>
          <w:szCs w:val="24"/>
        </w:rPr>
        <w:lastRenderedPageBreak/>
        <w:t xml:space="preserve">57,6 MBIF alors que les recettes exceptionnelles ont enregistré une baisse de 1.426,6 MBIF.  </w:t>
      </w:r>
    </w:p>
    <w:p w:rsidR="00A93179" w:rsidRPr="00A84001" w:rsidRDefault="00A93179" w:rsidP="00A93179">
      <w:pPr>
        <w:pStyle w:val="Titre2"/>
        <w:spacing w:after="120"/>
        <w:rPr>
          <w:rFonts w:ascii="Calibri" w:eastAsia="Calibri" w:hAnsi="Calibri" w:cs="Times New Roman"/>
          <w:color w:val="00B0F0"/>
          <w:sz w:val="24"/>
          <w:szCs w:val="24"/>
        </w:rPr>
      </w:pPr>
      <w:bookmarkStart w:id="9" w:name="_Toc391300298"/>
      <w:r w:rsidRPr="00A84001">
        <w:rPr>
          <w:rFonts w:ascii="Calibri" w:eastAsia="Calibri" w:hAnsi="Calibri" w:cs="Times New Roman"/>
          <w:color w:val="00B0F0"/>
          <w:sz w:val="24"/>
          <w:szCs w:val="24"/>
        </w:rPr>
        <w:t>Dépenses</w:t>
      </w:r>
      <w:bookmarkEnd w:id="9"/>
    </w:p>
    <w:p w:rsidR="00A93179" w:rsidRPr="00B91494" w:rsidRDefault="00E466B8" w:rsidP="00A93179">
      <w:pPr>
        <w:spacing w:after="120"/>
        <w:jc w:val="both"/>
        <w:rPr>
          <w:rFonts w:ascii="Calibri" w:eastAsia="Calibri" w:hAnsi="Calibri" w:cs="Times New Roman"/>
          <w:sz w:val="24"/>
          <w:szCs w:val="24"/>
        </w:rPr>
      </w:pPr>
      <w:r>
        <w:rPr>
          <w:rFonts w:ascii="Calibri" w:eastAsia="Calibri" w:hAnsi="Calibri" w:cs="Times New Roman"/>
          <w:sz w:val="24"/>
          <w:szCs w:val="24"/>
        </w:rPr>
        <w:t>A fin a</w:t>
      </w:r>
      <w:r w:rsidR="00A93179" w:rsidRPr="00B91494">
        <w:rPr>
          <w:rFonts w:ascii="Calibri" w:eastAsia="Calibri" w:hAnsi="Calibri" w:cs="Times New Roman"/>
          <w:sz w:val="24"/>
          <w:szCs w:val="24"/>
        </w:rPr>
        <w:t xml:space="preserve">vril 2014, les dépenses de personnel cumulées se sont établies à 96.763,0 contre 95.876,3 MBIF à la même période de l’année précédente, soit une augmentation de 886,7 MBIF. </w:t>
      </w:r>
    </w:p>
    <w:p w:rsidR="00A93179" w:rsidRPr="00A84001" w:rsidRDefault="00A93179" w:rsidP="00A93179">
      <w:pPr>
        <w:pStyle w:val="Titre2"/>
        <w:spacing w:after="120"/>
        <w:rPr>
          <w:rFonts w:ascii="Calibri" w:eastAsia="Calibri" w:hAnsi="Calibri" w:cs="Times New Roman"/>
          <w:color w:val="00B0F0"/>
          <w:sz w:val="24"/>
          <w:szCs w:val="24"/>
        </w:rPr>
      </w:pPr>
      <w:bookmarkStart w:id="10" w:name="_Toc391300299"/>
      <w:r w:rsidRPr="00A84001">
        <w:rPr>
          <w:rFonts w:ascii="Calibri" w:eastAsia="Calibri" w:hAnsi="Calibri" w:cs="Times New Roman"/>
          <w:color w:val="00B0F0"/>
          <w:sz w:val="24"/>
          <w:szCs w:val="24"/>
        </w:rPr>
        <w:t>Dette publique</w:t>
      </w:r>
      <w:bookmarkEnd w:id="10"/>
    </w:p>
    <w:p w:rsidR="00A93179" w:rsidRPr="00B91494" w:rsidRDefault="00A93179" w:rsidP="00A93179">
      <w:pPr>
        <w:spacing w:after="120"/>
        <w:jc w:val="both"/>
        <w:rPr>
          <w:rFonts w:ascii="Calibri" w:eastAsia="Calibri" w:hAnsi="Calibri" w:cs="Times New Roman"/>
          <w:sz w:val="24"/>
          <w:szCs w:val="24"/>
        </w:rPr>
      </w:pPr>
      <w:r w:rsidRPr="00B91494">
        <w:rPr>
          <w:rFonts w:ascii="Calibri" w:eastAsia="Calibri" w:hAnsi="Calibri" w:cs="Times New Roman"/>
          <w:sz w:val="24"/>
          <w:szCs w:val="24"/>
        </w:rPr>
        <w:t xml:space="preserve">Se fixant à </w:t>
      </w:r>
      <w:r>
        <w:rPr>
          <w:rFonts w:ascii="Calibri" w:eastAsia="Calibri" w:hAnsi="Calibri" w:cs="Times New Roman"/>
          <w:sz w:val="24"/>
          <w:szCs w:val="24"/>
        </w:rPr>
        <w:t>1.301.561,2</w:t>
      </w:r>
      <w:r w:rsidRPr="00B91494">
        <w:rPr>
          <w:rFonts w:ascii="Calibri" w:eastAsia="Calibri" w:hAnsi="Calibri" w:cs="Times New Roman"/>
          <w:sz w:val="24"/>
          <w:szCs w:val="24"/>
        </w:rPr>
        <w:t xml:space="preserve"> MBIF à fin </w:t>
      </w:r>
      <w:r w:rsidR="00E466B8">
        <w:rPr>
          <w:rFonts w:ascii="Calibri" w:eastAsia="Calibri" w:hAnsi="Calibri" w:cs="Times New Roman"/>
          <w:sz w:val="24"/>
          <w:szCs w:val="24"/>
        </w:rPr>
        <w:t>a</w:t>
      </w:r>
      <w:r w:rsidRPr="00B91494">
        <w:rPr>
          <w:rFonts w:ascii="Calibri" w:eastAsia="Calibri" w:hAnsi="Calibri" w:cs="Times New Roman"/>
          <w:sz w:val="24"/>
          <w:szCs w:val="24"/>
        </w:rPr>
        <w:t xml:space="preserve">vril 2014 contre </w:t>
      </w:r>
      <w:r>
        <w:rPr>
          <w:rFonts w:ascii="Calibri" w:eastAsia="Calibri" w:hAnsi="Calibri" w:cs="Times New Roman"/>
          <w:sz w:val="24"/>
          <w:szCs w:val="24"/>
        </w:rPr>
        <w:t>1.152.288,0</w:t>
      </w:r>
      <w:r w:rsidRPr="00B91494">
        <w:rPr>
          <w:rFonts w:ascii="Calibri" w:eastAsia="Calibri" w:hAnsi="Calibri" w:cs="Times New Roman"/>
          <w:sz w:val="24"/>
          <w:szCs w:val="24"/>
        </w:rPr>
        <w:t xml:space="preserve"> MBIF à la même période de l’année précédente, l’encours de la dette publique a progressé de </w:t>
      </w:r>
      <w:r>
        <w:rPr>
          <w:rFonts w:ascii="Calibri" w:eastAsia="Calibri" w:hAnsi="Calibri" w:cs="Times New Roman"/>
          <w:sz w:val="24"/>
          <w:szCs w:val="24"/>
        </w:rPr>
        <w:t>13,0</w:t>
      </w:r>
      <w:r w:rsidRPr="00B91494">
        <w:rPr>
          <w:rFonts w:ascii="Calibri" w:eastAsia="Calibri" w:hAnsi="Calibri" w:cs="Times New Roman"/>
          <w:sz w:val="24"/>
          <w:szCs w:val="24"/>
        </w:rPr>
        <w:t xml:space="preserve"> p.c., en raison de l’augmentation de la dette intérieure (</w:t>
      </w:r>
      <w:r>
        <w:rPr>
          <w:rFonts w:ascii="Calibri" w:eastAsia="Calibri" w:hAnsi="Calibri" w:cs="Times New Roman"/>
          <w:sz w:val="24"/>
          <w:szCs w:val="24"/>
        </w:rPr>
        <w:t>19,8 p.c.) et extérieure (6</w:t>
      </w:r>
      <w:r w:rsidRPr="00B91494">
        <w:rPr>
          <w:rFonts w:ascii="Calibri" w:eastAsia="Calibri" w:hAnsi="Calibri" w:cs="Times New Roman"/>
          <w:sz w:val="24"/>
          <w:szCs w:val="24"/>
        </w:rPr>
        <w:t>,</w:t>
      </w:r>
      <w:r>
        <w:rPr>
          <w:rFonts w:ascii="Calibri" w:eastAsia="Calibri" w:hAnsi="Calibri" w:cs="Times New Roman"/>
          <w:sz w:val="24"/>
          <w:szCs w:val="24"/>
        </w:rPr>
        <w:t>9</w:t>
      </w:r>
      <w:r w:rsidRPr="00B91494">
        <w:rPr>
          <w:rFonts w:ascii="Calibri" w:eastAsia="Calibri" w:hAnsi="Calibri" w:cs="Times New Roman"/>
          <w:sz w:val="24"/>
          <w:szCs w:val="24"/>
        </w:rPr>
        <w:t xml:space="preserve"> p.c.). </w:t>
      </w:r>
    </w:p>
    <w:p w:rsidR="00A93179" w:rsidRPr="00B91494" w:rsidRDefault="00A93179" w:rsidP="00A93179">
      <w:pPr>
        <w:spacing w:after="120"/>
        <w:jc w:val="both"/>
        <w:rPr>
          <w:rFonts w:ascii="Calibri" w:eastAsia="Calibri" w:hAnsi="Calibri" w:cs="Times New Roman"/>
          <w:sz w:val="24"/>
          <w:szCs w:val="24"/>
        </w:rPr>
      </w:pPr>
      <w:r w:rsidRPr="00B91494">
        <w:rPr>
          <w:rFonts w:ascii="Calibri" w:eastAsia="Calibri" w:hAnsi="Calibri" w:cs="Times New Roman"/>
          <w:sz w:val="24"/>
          <w:szCs w:val="24"/>
        </w:rPr>
        <w:t xml:space="preserve"> D’un mois à l’autre, l’encours de la dette publique s’est accru de 2,</w:t>
      </w:r>
      <w:r>
        <w:rPr>
          <w:rFonts w:ascii="Calibri" w:eastAsia="Calibri" w:hAnsi="Calibri" w:cs="Times New Roman"/>
          <w:sz w:val="24"/>
          <w:szCs w:val="24"/>
        </w:rPr>
        <w:t>4</w:t>
      </w:r>
      <w:r w:rsidRPr="00B91494">
        <w:rPr>
          <w:rFonts w:ascii="Calibri" w:eastAsia="Calibri" w:hAnsi="Calibri" w:cs="Times New Roman"/>
          <w:sz w:val="24"/>
          <w:szCs w:val="24"/>
        </w:rPr>
        <w:t xml:space="preserve"> p.c. suite à l’augmentation de la dette intérieure (5,9 p.c.)</w:t>
      </w:r>
      <w:r>
        <w:rPr>
          <w:rFonts w:ascii="Calibri" w:eastAsia="Calibri" w:hAnsi="Calibri" w:cs="Times New Roman"/>
          <w:sz w:val="24"/>
          <w:szCs w:val="24"/>
        </w:rPr>
        <w:t>, la dette intérieure ayant légèrement diminué</w:t>
      </w:r>
      <w:r w:rsidRPr="00B91494">
        <w:rPr>
          <w:rFonts w:ascii="Calibri" w:eastAsia="Calibri" w:hAnsi="Calibri" w:cs="Times New Roman"/>
          <w:sz w:val="24"/>
          <w:szCs w:val="24"/>
        </w:rPr>
        <w:t xml:space="preserve"> (-0,</w:t>
      </w:r>
      <w:r>
        <w:rPr>
          <w:rFonts w:ascii="Calibri" w:eastAsia="Calibri" w:hAnsi="Calibri" w:cs="Times New Roman"/>
          <w:sz w:val="24"/>
          <w:szCs w:val="24"/>
        </w:rPr>
        <w:t>8</w:t>
      </w:r>
      <w:r w:rsidRPr="00B91494">
        <w:rPr>
          <w:rFonts w:ascii="Calibri" w:eastAsia="Calibri" w:hAnsi="Calibri" w:cs="Times New Roman"/>
          <w:sz w:val="24"/>
          <w:szCs w:val="24"/>
        </w:rPr>
        <w:t xml:space="preserve"> p.c.). </w:t>
      </w:r>
    </w:p>
    <w:p w:rsidR="00A93179" w:rsidRPr="00A84001" w:rsidRDefault="00A93179" w:rsidP="00A93179">
      <w:pPr>
        <w:pStyle w:val="Titre3"/>
        <w:spacing w:after="120"/>
        <w:rPr>
          <w:rFonts w:ascii="Calibri" w:eastAsia="Calibri" w:hAnsi="Calibri" w:cs="Times New Roman"/>
          <w:color w:val="00B0F0"/>
          <w:sz w:val="24"/>
          <w:szCs w:val="24"/>
        </w:rPr>
      </w:pPr>
      <w:bookmarkStart w:id="11" w:name="_Toc391300300"/>
      <w:r w:rsidRPr="00A84001">
        <w:rPr>
          <w:rFonts w:ascii="Calibri" w:eastAsia="Calibri" w:hAnsi="Calibri" w:cs="Times New Roman"/>
          <w:color w:val="00B0F0"/>
          <w:sz w:val="24"/>
          <w:szCs w:val="24"/>
        </w:rPr>
        <w:t>- Dette intérieure</w:t>
      </w:r>
      <w:bookmarkEnd w:id="11"/>
    </w:p>
    <w:p w:rsidR="00A93179" w:rsidRPr="00B91494" w:rsidRDefault="00A93179" w:rsidP="00A93179">
      <w:pPr>
        <w:spacing w:after="120"/>
        <w:jc w:val="both"/>
        <w:rPr>
          <w:rFonts w:ascii="Calibri" w:eastAsia="Calibri" w:hAnsi="Calibri" w:cs="Times New Roman"/>
          <w:sz w:val="24"/>
          <w:szCs w:val="24"/>
        </w:rPr>
      </w:pPr>
      <w:r w:rsidRPr="00B91494">
        <w:rPr>
          <w:rFonts w:ascii="Calibri" w:eastAsia="Calibri" w:hAnsi="Calibri" w:cs="Times New Roman"/>
          <w:sz w:val="24"/>
          <w:szCs w:val="24"/>
        </w:rPr>
        <w:t xml:space="preserve">En glissement annuel, le stock de la dette publique intérieure a progressé de  </w:t>
      </w:r>
      <w:r>
        <w:rPr>
          <w:rFonts w:ascii="Calibri" w:eastAsia="Calibri" w:hAnsi="Calibri" w:cs="Times New Roman"/>
          <w:sz w:val="24"/>
          <w:szCs w:val="24"/>
        </w:rPr>
        <w:t>106.802,5</w:t>
      </w:r>
      <w:r w:rsidRPr="00B91494">
        <w:rPr>
          <w:rFonts w:ascii="Calibri" w:eastAsia="Calibri" w:hAnsi="Calibri" w:cs="Times New Roman"/>
          <w:sz w:val="24"/>
          <w:szCs w:val="24"/>
        </w:rPr>
        <w:t xml:space="preserve"> MBIF, passant de </w:t>
      </w:r>
      <w:r>
        <w:rPr>
          <w:rFonts w:ascii="Calibri" w:eastAsia="Calibri" w:hAnsi="Calibri" w:cs="Times New Roman"/>
          <w:sz w:val="24"/>
          <w:szCs w:val="24"/>
        </w:rPr>
        <w:t>538.626,5</w:t>
      </w:r>
      <w:r w:rsidRPr="00B91494">
        <w:rPr>
          <w:rFonts w:ascii="Calibri" w:eastAsia="Calibri" w:hAnsi="Calibri" w:cs="Times New Roman"/>
          <w:sz w:val="24"/>
          <w:szCs w:val="24"/>
        </w:rPr>
        <w:t xml:space="preserve"> à 645.429,0 MBIF en liaison avec l’augmentation de l’endettement de l’Etat vis-à-vis du secteur bancaire (+90.517,8 MBIF) et non bancaire (+16.611,2 MBIF). </w:t>
      </w:r>
    </w:p>
    <w:p w:rsidR="00A93179" w:rsidRPr="00B91494" w:rsidRDefault="00A93179" w:rsidP="00A93179">
      <w:pPr>
        <w:jc w:val="both"/>
        <w:rPr>
          <w:rFonts w:ascii="Calibri" w:eastAsia="Calibri" w:hAnsi="Calibri" w:cs="Times New Roman"/>
          <w:sz w:val="24"/>
          <w:szCs w:val="24"/>
        </w:rPr>
      </w:pPr>
      <w:r w:rsidRPr="00B91494">
        <w:rPr>
          <w:rFonts w:ascii="Calibri" w:eastAsia="Calibri" w:hAnsi="Calibri" w:cs="Times New Roman"/>
          <w:sz w:val="24"/>
          <w:szCs w:val="24"/>
        </w:rPr>
        <w:t xml:space="preserve">La progression de l’endettement de l’Etat envers le secteur bancaire a concerné les engagements envers les banques commerciales (+93.877,5 MBIF) </w:t>
      </w:r>
      <w:r>
        <w:rPr>
          <w:rFonts w:ascii="Calibri" w:eastAsia="Calibri" w:hAnsi="Calibri" w:cs="Times New Roman"/>
          <w:sz w:val="24"/>
          <w:szCs w:val="24"/>
        </w:rPr>
        <w:t xml:space="preserve">l’endettement de </w:t>
      </w:r>
      <w:r w:rsidRPr="00B91494">
        <w:rPr>
          <w:rFonts w:ascii="Calibri" w:eastAsia="Calibri" w:hAnsi="Calibri" w:cs="Times New Roman"/>
          <w:sz w:val="24"/>
          <w:szCs w:val="24"/>
        </w:rPr>
        <w:t xml:space="preserve">l’Etat envers la Banque Centrale </w:t>
      </w:r>
      <w:r>
        <w:rPr>
          <w:rFonts w:ascii="Calibri" w:eastAsia="Calibri" w:hAnsi="Calibri" w:cs="Times New Roman"/>
          <w:sz w:val="24"/>
          <w:szCs w:val="24"/>
        </w:rPr>
        <w:t>ayant légèrement baissé de 4.</w:t>
      </w:r>
      <w:r w:rsidRPr="00B91494">
        <w:rPr>
          <w:rFonts w:ascii="Calibri" w:eastAsia="Calibri" w:hAnsi="Calibri" w:cs="Times New Roman"/>
          <w:sz w:val="24"/>
          <w:szCs w:val="24"/>
        </w:rPr>
        <w:t>4</w:t>
      </w:r>
      <w:r>
        <w:rPr>
          <w:rFonts w:ascii="Calibri" w:eastAsia="Calibri" w:hAnsi="Calibri" w:cs="Times New Roman"/>
          <w:sz w:val="24"/>
          <w:szCs w:val="24"/>
        </w:rPr>
        <w:t>9</w:t>
      </w:r>
      <w:r w:rsidRPr="00B91494">
        <w:rPr>
          <w:rFonts w:ascii="Calibri" w:eastAsia="Calibri" w:hAnsi="Calibri" w:cs="Times New Roman"/>
          <w:sz w:val="24"/>
          <w:szCs w:val="24"/>
        </w:rPr>
        <w:t>9,</w:t>
      </w:r>
      <w:r>
        <w:rPr>
          <w:rFonts w:ascii="Calibri" w:eastAsia="Calibri" w:hAnsi="Calibri" w:cs="Times New Roman"/>
          <w:sz w:val="24"/>
          <w:szCs w:val="24"/>
        </w:rPr>
        <w:t>0</w:t>
      </w:r>
      <w:r w:rsidRPr="00B91494">
        <w:rPr>
          <w:rFonts w:ascii="Calibri" w:eastAsia="Calibri" w:hAnsi="Calibri" w:cs="Times New Roman"/>
          <w:sz w:val="24"/>
          <w:szCs w:val="24"/>
        </w:rPr>
        <w:t xml:space="preserve"> MBIF. </w:t>
      </w:r>
    </w:p>
    <w:p w:rsidR="00A93179" w:rsidRPr="00B91494" w:rsidRDefault="00A93179" w:rsidP="00A93179">
      <w:pPr>
        <w:spacing w:after="120"/>
        <w:jc w:val="both"/>
        <w:rPr>
          <w:rFonts w:ascii="Calibri" w:eastAsia="Calibri" w:hAnsi="Calibri" w:cs="Times New Roman"/>
          <w:sz w:val="24"/>
          <w:szCs w:val="24"/>
        </w:rPr>
      </w:pPr>
      <w:r w:rsidRPr="00B91494">
        <w:rPr>
          <w:rFonts w:ascii="Calibri" w:eastAsia="Calibri" w:hAnsi="Calibri" w:cs="Times New Roman"/>
          <w:sz w:val="24"/>
          <w:szCs w:val="24"/>
        </w:rPr>
        <w:lastRenderedPageBreak/>
        <w:t>D’un mois à l’autre, le stock de la dette intérieure a augmenté de 35.696,8  MBIF, passant de 609.732,2 à 645.429,0 MBIF</w:t>
      </w:r>
      <w:r>
        <w:rPr>
          <w:rFonts w:ascii="Calibri" w:eastAsia="Calibri" w:hAnsi="Calibri" w:cs="Times New Roman"/>
          <w:sz w:val="24"/>
          <w:szCs w:val="24"/>
        </w:rPr>
        <w:t>,</w:t>
      </w:r>
      <w:r w:rsidRPr="00B91494">
        <w:rPr>
          <w:rFonts w:ascii="Calibri" w:eastAsia="Calibri" w:hAnsi="Calibri" w:cs="Times New Roman"/>
          <w:sz w:val="24"/>
          <w:szCs w:val="24"/>
        </w:rPr>
        <w:t xml:space="preserve"> suite </w:t>
      </w:r>
      <w:r>
        <w:rPr>
          <w:rFonts w:ascii="Calibri" w:eastAsia="Calibri" w:hAnsi="Calibri" w:cs="Times New Roman"/>
          <w:sz w:val="24"/>
          <w:szCs w:val="24"/>
        </w:rPr>
        <w:t xml:space="preserve">principalement </w:t>
      </w:r>
      <w:r w:rsidRPr="00B91494">
        <w:rPr>
          <w:rFonts w:ascii="Calibri" w:eastAsia="Calibri" w:hAnsi="Calibri" w:cs="Times New Roman"/>
          <w:sz w:val="24"/>
          <w:szCs w:val="24"/>
        </w:rPr>
        <w:t>à</w:t>
      </w:r>
      <w:r>
        <w:rPr>
          <w:rFonts w:ascii="Calibri" w:eastAsia="Calibri" w:hAnsi="Calibri" w:cs="Times New Roman"/>
          <w:sz w:val="24"/>
          <w:szCs w:val="24"/>
        </w:rPr>
        <w:t xml:space="preserve"> l’augmentation</w:t>
      </w:r>
      <w:r w:rsidRPr="00B91494">
        <w:rPr>
          <w:rFonts w:ascii="Calibri" w:eastAsia="Calibri" w:hAnsi="Calibri" w:cs="Times New Roman"/>
          <w:sz w:val="24"/>
          <w:szCs w:val="24"/>
        </w:rPr>
        <w:t xml:space="preserve"> l’endettement de l’Etat vis-à-vis du secteur bancaire (+35.621,8 MBIF). </w:t>
      </w:r>
    </w:p>
    <w:p w:rsidR="00A93179" w:rsidRPr="00A84001" w:rsidRDefault="00A93179" w:rsidP="00A93179">
      <w:pPr>
        <w:pStyle w:val="Titre3"/>
        <w:spacing w:after="120"/>
        <w:rPr>
          <w:rFonts w:ascii="Calibri" w:eastAsia="Calibri" w:hAnsi="Calibri" w:cs="Times New Roman"/>
          <w:color w:val="00B0F0"/>
          <w:sz w:val="24"/>
          <w:szCs w:val="24"/>
        </w:rPr>
      </w:pPr>
      <w:bookmarkStart w:id="12" w:name="_Toc391300301"/>
      <w:r w:rsidRPr="00A84001">
        <w:rPr>
          <w:rFonts w:ascii="Calibri" w:eastAsia="Calibri" w:hAnsi="Calibri" w:cs="Times New Roman"/>
          <w:color w:val="00B0F0"/>
          <w:sz w:val="24"/>
          <w:szCs w:val="24"/>
        </w:rPr>
        <w:t>- Dette extérieure</w:t>
      </w:r>
      <w:bookmarkEnd w:id="12"/>
    </w:p>
    <w:p w:rsidR="00A93179" w:rsidRPr="00B91494" w:rsidRDefault="00A93179" w:rsidP="00A93179">
      <w:pPr>
        <w:spacing w:after="120"/>
        <w:jc w:val="both"/>
        <w:rPr>
          <w:rFonts w:ascii="Calibri" w:eastAsia="Calibri" w:hAnsi="Calibri" w:cs="Times New Roman"/>
          <w:sz w:val="24"/>
          <w:szCs w:val="24"/>
        </w:rPr>
      </w:pPr>
      <w:r w:rsidRPr="00B91494">
        <w:rPr>
          <w:rFonts w:ascii="Calibri" w:eastAsia="Calibri" w:hAnsi="Calibri" w:cs="Times New Roman"/>
          <w:sz w:val="24"/>
          <w:szCs w:val="24"/>
        </w:rPr>
        <w:t xml:space="preserve">En glissement annuel, l’encours de la dette publique extérieure a progressé de </w:t>
      </w:r>
      <w:r w:rsidRPr="00D63F54">
        <w:rPr>
          <w:rFonts w:ascii="Calibri" w:eastAsia="Calibri" w:hAnsi="Calibri" w:cs="Times New Roman"/>
          <w:sz w:val="24"/>
          <w:szCs w:val="24"/>
        </w:rPr>
        <w:t>42.470,7 MBIF</w:t>
      </w:r>
      <w:r w:rsidRPr="00B91494">
        <w:rPr>
          <w:rFonts w:ascii="Calibri" w:eastAsia="Calibri" w:hAnsi="Calibri" w:cs="Times New Roman"/>
          <w:sz w:val="24"/>
          <w:szCs w:val="24"/>
        </w:rPr>
        <w:t>, passant de 613.</w:t>
      </w:r>
      <w:r>
        <w:rPr>
          <w:rFonts w:ascii="Calibri" w:eastAsia="Calibri" w:hAnsi="Calibri" w:cs="Times New Roman"/>
          <w:sz w:val="24"/>
          <w:szCs w:val="24"/>
        </w:rPr>
        <w:t>661,5</w:t>
      </w:r>
      <w:r w:rsidRPr="00B91494">
        <w:rPr>
          <w:rFonts w:ascii="Calibri" w:eastAsia="Calibri" w:hAnsi="Calibri" w:cs="Times New Roman"/>
          <w:sz w:val="24"/>
          <w:szCs w:val="24"/>
        </w:rPr>
        <w:t xml:space="preserve"> à </w:t>
      </w:r>
      <w:r>
        <w:rPr>
          <w:rFonts w:ascii="Calibri" w:eastAsia="Calibri" w:hAnsi="Calibri" w:cs="Times New Roman"/>
          <w:sz w:val="24"/>
          <w:szCs w:val="24"/>
        </w:rPr>
        <w:t xml:space="preserve">656.132,2 </w:t>
      </w:r>
      <w:r w:rsidRPr="00B91494">
        <w:rPr>
          <w:rFonts w:ascii="Calibri" w:eastAsia="Calibri" w:hAnsi="Calibri" w:cs="Times New Roman"/>
          <w:sz w:val="24"/>
          <w:szCs w:val="24"/>
        </w:rPr>
        <w:t xml:space="preserve">MBIF. Cette </w:t>
      </w:r>
      <w:r>
        <w:rPr>
          <w:rFonts w:ascii="Calibri" w:eastAsia="Calibri" w:hAnsi="Calibri" w:cs="Times New Roman"/>
          <w:sz w:val="24"/>
          <w:szCs w:val="24"/>
        </w:rPr>
        <w:t>augmentation</w:t>
      </w:r>
      <w:r w:rsidRPr="00B91494">
        <w:rPr>
          <w:rFonts w:ascii="Calibri" w:eastAsia="Calibri" w:hAnsi="Calibri" w:cs="Times New Roman"/>
          <w:sz w:val="24"/>
          <w:szCs w:val="24"/>
        </w:rPr>
        <w:t xml:space="preserve"> a résulté des tirages </w:t>
      </w:r>
      <w:r w:rsidRPr="00A85935">
        <w:rPr>
          <w:rFonts w:ascii="Calibri" w:eastAsia="Calibri" w:hAnsi="Calibri" w:cs="Times New Roman"/>
          <w:sz w:val="24"/>
          <w:szCs w:val="24"/>
        </w:rPr>
        <w:t>(</w:t>
      </w:r>
      <w:r>
        <w:rPr>
          <w:rFonts w:ascii="Calibri" w:eastAsia="Calibri" w:hAnsi="Calibri" w:cs="Times New Roman"/>
          <w:sz w:val="24"/>
          <w:szCs w:val="24"/>
        </w:rPr>
        <w:t>44.996,9</w:t>
      </w:r>
      <w:r w:rsidRPr="00A85935">
        <w:rPr>
          <w:rFonts w:ascii="Calibri" w:eastAsia="Calibri" w:hAnsi="Calibri" w:cs="Times New Roman"/>
          <w:sz w:val="24"/>
          <w:szCs w:val="24"/>
        </w:rPr>
        <w:t xml:space="preserve"> MBIF) et des plus-values de réévaluation (</w:t>
      </w:r>
      <w:r>
        <w:rPr>
          <w:rFonts w:ascii="Calibri" w:eastAsia="Calibri" w:hAnsi="Calibri" w:cs="Times New Roman"/>
          <w:sz w:val="24"/>
          <w:szCs w:val="24"/>
        </w:rPr>
        <w:t>5.864,0</w:t>
      </w:r>
      <w:r w:rsidRPr="00A85935">
        <w:rPr>
          <w:rFonts w:ascii="Calibri" w:eastAsia="Calibri" w:hAnsi="Calibri" w:cs="Times New Roman"/>
          <w:sz w:val="24"/>
          <w:szCs w:val="24"/>
        </w:rPr>
        <w:t xml:space="preserve"> MBIF)</w:t>
      </w:r>
      <w:r w:rsidRPr="00B91494">
        <w:rPr>
          <w:rFonts w:ascii="Calibri" w:eastAsia="Calibri" w:hAnsi="Calibri" w:cs="Times New Roman"/>
          <w:sz w:val="24"/>
          <w:szCs w:val="24"/>
        </w:rPr>
        <w:t xml:space="preserve"> qui ont </w:t>
      </w:r>
      <w:r>
        <w:rPr>
          <w:rFonts w:ascii="Calibri" w:eastAsia="Calibri" w:hAnsi="Calibri" w:cs="Times New Roman"/>
          <w:sz w:val="24"/>
          <w:szCs w:val="24"/>
        </w:rPr>
        <w:t>contrebalancé</w:t>
      </w:r>
      <w:r w:rsidRPr="00B91494">
        <w:rPr>
          <w:rFonts w:ascii="Calibri" w:eastAsia="Calibri" w:hAnsi="Calibri" w:cs="Times New Roman"/>
          <w:sz w:val="24"/>
          <w:szCs w:val="24"/>
        </w:rPr>
        <w:t xml:space="preserve"> l’amortissement (8.</w:t>
      </w:r>
      <w:r>
        <w:rPr>
          <w:rFonts w:ascii="Calibri" w:eastAsia="Calibri" w:hAnsi="Calibri" w:cs="Times New Roman"/>
          <w:sz w:val="24"/>
          <w:szCs w:val="24"/>
        </w:rPr>
        <w:t>390,2</w:t>
      </w:r>
      <w:r w:rsidRPr="00B91494">
        <w:rPr>
          <w:rFonts w:ascii="Calibri" w:eastAsia="Calibri" w:hAnsi="Calibri" w:cs="Times New Roman"/>
          <w:sz w:val="24"/>
          <w:szCs w:val="24"/>
        </w:rPr>
        <w:t xml:space="preserve"> MBIF).  </w:t>
      </w:r>
    </w:p>
    <w:p w:rsidR="00A93179" w:rsidRPr="00B91494" w:rsidRDefault="00A93179" w:rsidP="00A93179">
      <w:pPr>
        <w:spacing w:after="120"/>
        <w:jc w:val="both"/>
        <w:rPr>
          <w:rFonts w:ascii="Calibri" w:eastAsia="Calibri" w:hAnsi="Calibri" w:cs="Times New Roman"/>
          <w:sz w:val="24"/>
          <w:szCs w:val="24"/>
        </w:rPr>
      </w:pPr>
      <w:r w:rsidRPr="00B91494">
        <w:rPr>
          <w:rFonts w:ascii="Calibri" w:eastAsia="Calibri" w:hAnsi="Calibri" w:cs="Times New Roman"/>
          <w:sz w:val="24"/>
          <w:szCs w:val="24"/>
        </w:rPr>
        <w:t xml:space="preserve">D’un mois à l’autre, l’encours de la dette publique extérieure a diminué de </w:t>
      </w:r>
      <w:r>
        <w:rPr>
          <w:rFonts w:ascii="Calibri" w:eastAsia="Calibri" w:hAnsi="Calibri" w:cs="Times New Roman"/>
          <w:sz w:val="24"/>
          <w:szCs w:val="24"/>
        </w:rPr>
        <w:t>5.334,7</w:t>
      </w:r>
      <w:r w:rsidRPr="00B91494">
        <w:rPr>
          <w:rFonts w:ascii="Calibri" w:eastAsia="Calibri" w:hAnsi="Calibri" w:cs="Times New Roman"/>
          <w:sz w:val="24"/>
          <w:szCs w:val="24"/>
        </w:rPr>
        <w:t xml:space="preserve"> MBIF, revenant de </w:t>
      </w:r>
      <w:r>
        <w:rPr>
          <w:rFonts w:ascii="Calibri" w:eastAsia="Calibri" w:hAnsi="Calibri" w:cs="Times New Roman"/>
          <w:sz w:val="24"/>
          <w:szCs w:val="24"/>
        </w:rPr>
        <w:t>661.466,9</w:t>
      </w:r>
      <w:r w:rsidRPr="00B91494">
        <w:rPr>
          <w:rFonts w:ascii="Calibri" w:eastAsia="Calibri" w:hAnsi="Calibri" w:cs="Times New Roman"/>
          <w:sz w:val="24"/>
          <w:szCs w:val="24"/>
        </w:rPr>
        <w:t xml:space="preserve"> à </w:t>
      </w:r>
      <w:r>
        <w:rPr>
          <w:rFonts w:ascii="Calibri" w:eastAsia="Calibri" w:hAnsi="Calibri" w:cs="Times New Roman"/>
          <w:sz w:val="24"/>
          <w:szCs w:val="24"/>
        </w:rPr>
        <w:t>656</w:t>
      </w:r>
      <w:r w:rsidR="00D0436B">
        <w:rPr>
          <w:rFonts w:ascii="Calibri" w:eastAsia="Calibri" w:hAnsi="Calibri" w:cs="Times New Roman"/>
          <w:sz w:val="24"/>
          <w:szCs w:val="24"/>
        </w:rPr>
        <w:t>.</w:t>
      </w:r>
      <w:r>
        <w:rPr>
          <w:rFonts w:ascii="Calibri" w:eastAsia="Calibri" w:hAnsi="Calibri" w:cs="Times New Roman"/>
          <w:sz w:val="24"/>
          <w:szCs w:val="24"/>
        </w:rPr>
        <w:t>132,2</w:t>
      </w:r>
      <w:r w:rsidRPr="00B91494">
        <w:rPr>
          <w:rFonts w:ascii="Calibri" w:eastAsia="Calibri" w:hAnsi="Calibri" w:cs="Times New Roman"/>
          <w:sz w:val="24"/>
          <w:szCs w:val="24"/>
        </w:rPr>
        <w:t xml:space="preserve"> MBIF en liaison </w:t>
      </w:r>
      <w:r>
        <w:rPr>
          <w:rFonts w:ascii="Calibri" w:eastAsia="Calibri" w:hAnsi="Calibri" w:cs="Times New Roman"/>
          <w:sz w:val="24"/>
          <w:szCs w:val="24"/>
        </w:rPr>
        <w:t xml:space="preserve">avec </w:t>
      </w:r>
      <w:r w:rsidRPr="00B91494">
        <w:rPr>
          <w:rFonts w:ascii="Calibri" w:eastAsia="Calibri" w:hAnsi="Calibri" w:cs="Times New Roman"/>
          <w:sz w:val="24"/>
          <w:szCs w:val="24"/>
        </w:rPr>
        <w:t>l’amortissement (2.04</w:t>
      </w:r>
      <w:r>
        <w:rPr>
          <w:rFonts w:ascii="Calibri" w:eastAsia="Calibri" w:hAnsi="Calibri" w:cs="Times New Roman"/>
          <w:sz w:val="24"/>
          <w:szCs w:val="24"/>
        </w:rPr>
        <w:t>1</w:t>
      </w:r>
      <w:r w:rsidRPr="00B91494">
        <w:rPr>
          <w:rFonts w:ascii="Calibri" w:eastAsia="Calibri" w:hAnsi="Calibri" w:cs="Times New Roman"/>
          <w:sz w:val="24"/>
          <w:szCs w:val="24"/>
        </w:rPr>
        <w:t>,</w:t>
      </w:r>
      <w:r>
        <w:rPr>
          <w:rFonts w:ascii="Calibri" w:eastAsia="Calibri" w:hAnsi="Calibri" w:cs="Times New Roman"/>
          <w:sz w:val="24"/>
          <w:szCs w:val="24"/>
        </w:rPr>
        <w:t>8</w:t>
      </w:r>
      <w:r w:rsidRPr="00B91494">
        <w:rPr>
          <w:rFonts w:ascii="Calibri" w:eastAsia="Calibri" w:hAnsi="Calibri" w:cs="Times New Roman"/>
          <w:sz w:val="24"/>
          <w:szCs w:val="24"/>
        </w:rPr>
        <w:t xml:space="preserve"> MBIF) et les moins-values de réévaluation (-</w:t>
      </w:r>
      <w:r>
        <w:rPr>
          <w:rFonts w:ascii="Calibri" w:eastAsia="Calibri" w:hAnsi="Calibri" w:cs="Times New Roman"/>
          <w:sz w:val="24"/>
          <w:szCs w:val="24"/>
        </w:rPr>
        <w:t>7.221,5</w:t>
      </w:r>
      <w:r w:rsidRPr="00B91494">
        <w:rPr>
          <w:rFonts w:ascii="Calibri" w:eastAsia="Calibri" w:hAnsi="Calibri" w:cs="Times New Roman"/>
          <w:sz w:val="24"/>
          <w:szCs w:val="24"/>
        </w:rPr>
        <w:t xml:space="preserve"> MBIF)</w:t>
      </w:r>
      <w:r>
        <w:rPr>
          <w:rFonts w:ascii="Calibri" w:eastAsia="Calibri" w:hAnsi="Calibri" w:cs="Times New Roman"/>
          <w:sz w:val="24"/>
          <w:szCs w:val="24"/>
        </w:rPr>
        <w:t xml:space="preserve"> qui ont dépassé les tirages (3.928,6 MBIF)</w:t>
      </w:r>
      <w:r w:rsidRPr="00B91494">
        <w:rPr>
          <w:rFonts w:ascii="Calibri" w:eastAsia="Calibri" w:hAnsi="Calibri" w:cs="Times New Roman"/>
          <w:sz w:val="24"/>
          <w:szCs w:val="24"/>
        </w:rPr>
        <w:t>.</w:t>
      </w:r>
    </w:p>
    <w:p w:rsidR="00A93179" w:rsidRDefault="00A93179" w:rsidP="00A93179">
      <w:pPr>
        <w:spacing w:after="240"/>
        <w:jc w:val="both"/>
        <w:rPr>
          <w:rFonts w:ascii="Calibri" w:eastAsia="Calibri" w:hAnsi="Calibri" w:cs="Times New Roman"/>
          <w:sz w:val="24"/>
          <w:szCs w:val="24"/>
        </w:rPr>
      </w:pPr>
      <w:r w:rsidRPr="00B91494">
        <w:rPr>
          <w:rFonts w:ascii="Calibri" w:eastAsia="Calibri" w:hAnsi="Calibri" w:cs="Times New Roman"/>
          <w:sz w:val="24"/>
          <w:szCs w:val="24"/>
        </w:rPr>
        <w:t xml:space="preserve"> Exprimé en dollars américains, le stock de la dette extérieure à fin Avril 2014 a augmenté de </w:t>
      </w:r>
      <w:r>
        <w:rPr>
          <w:rFonts w:ascii="Calibri" w:eastAsia="Calibri" w:hAnsi="Calibri" w:cs="Times New Roman"/>
          <w:sz w:val="24"/>
          <w:szCs w:val="24"/>
        </w:rPr>
        <w:t>32,1</w:t>
      </w:r>
      <w:r w:rsidRPr="00B91494">
        <w:rPr>
          <w:rFonts w:ascii="Calibri" w:eastAsia="Calibri" w:hAnsi="Calibri" w:cs="Times New Roman"/>
          <w:sz w:val="24"/>
          <w:szCs w:val="24"/>
        </w:rPr>
        <w:t xml:space="preserve"> M</w:t>
      </w:r>
      <w:r w:rsidR="00F8452D">
        <w:rPr>
          <w:rFonts w:ascii="Calibri" w:eastAsia="Calibri" w:hAnsi="Calibri" w:cs="Times New Roman"/>
          <w:sz w:val="24"/>
          <w:szCs w:val="24"/>
        </w:rPr>
        <w:t xml:space="preserve">illions </w:t>
      </w:r>
      <w:r w:rsidRPr="00B91494">
        <w:rPr>
          <w:rFonts w:ascii="Calibri" w:eastAsia="Calibri" w:hAnsi="Calibri" w:cs="Times New Roman"/>
          <w:sz w:val="24"/>
          <w:szCs w:val="24"/>
        </w:rPr>
        <w:t xml:space="preserve">USD, se fixant à </w:t>
      </w:r>
      <w:r>
        <w:rPr>
          <w:rFonts w:ascii="Calibri" w:eastAsia="Calibri" w:hAnsi="Calibri" w:cs="Times New Roman"/>
          <w:sz w:val="24"/>
          <w:szCs w:val="24"/>
        </w:rPr>
        <w:t>424,6</w:t>
      </w:r>
      <w:r w:rsidRPr="00B91494">
        <w:rPr>
          <w:rFonts w:ascii="Calibri" w:eastAsia="Calibri" w:hAnsi="Calibri" w:cs="Times New Roman"/>
          <w:sz w:val="24"/>
          <w:szCs w:val="24"/>
        </w:rPr>
        <w:t xml:space="preserve"> contre 392,</w:t>
      </w:r>
      <w:r>
        <w:rPr>
          <w:rFonts w:ascii="Calibri" w:eastAsia="Calibri" w:hAnsi="Calibri" w:cs="Times New Roman"/>
          <w:sz w:val="24"/>
          <w:szCs w:val="24"/>
        </w:rPr>
        <w:t>5</w:t>
      </w:r>
      <w:r w:rsidRPr="00B91494">
        <w:rPr>
          <w:rFonts w:ascii="Calibri" w:eastAsia="Calibri" w:hAnsi="Calibri" w:cs="Times New Roman"/>
          <w:sz w:val="24"/>
          <w:szCs w:val="24"/>
        </w:rPr>
        <w:t xml:space="preserve"> M</w:t>
      </w:r>
      <w:r w:rsidR="00F8452D">
        <w:rPr>
          <w:rFonts w:ascii="Calibri" w:eastAsia="Calibri" w:hAnsi="Calibri" w:cs="Times New Roman"/>
          <w:sz w:val="24"/>
          <w:szCs w:val="24"/>
        </w:rPr>
        <w:t xml:space="preserve">illions </w:t>
      </w:r>
      <w:r w:rsidRPr="00B91494">
        <w:rPr>
          <w:rFonts w:ascii="Calibri" w:eastAsia="Calibri" w:hAnsi="Calibri" w:cs="Times New Roman"/>
          <w:sz w:val="24"/>
          <w:szCs w:val="24"/>
        </w:rPr>
        <w:t>USD à la fin de la période correspondante de l’année précédente.</w:t>
      </w:r>
      <w:bookmarkStart w:id="13" w:name="_Toc391300302"/>
    </w:p>
    <w:p w:rsidR="00A93179" w:rsidRPr="00C6025D" w:rsidRDefault="00A93179" w:rsidP="00A93179">
      <w:pPr>
        <w:spacing w:after="240" w:line="240" w:lineRule="auto"/>
        <w:jc w:val="both"/>
        <w:rPr>
          <w:rFonts w:ascii="Calibri" w:eastAsia="Calibri" w:hAnsi="Calibri" w:cs="Times New Roman"/>
          <w:b/>
          <w:color w:val="00B0F0"/>
          <w:sz w:val="24"/>
          <w:szCs w:val="24"/>
        </w:rPr>
      </w:pPr>
      <w:r>
        <w:rPr>
          <w:rFonts w:ascii="Calibri" w:eastAsia="Calibri" w:hAnsi="Calibri" w:cs="Times New Roman"/>
          <w:b/>
          <w:color w:val="00B0F0"/>
          <w:sz w:val="24"/>
          <w:szCs w:val="24"/>
        </w:rPr>
        <w:t xml:space="preserve">V. </w:t>
      </w:r>
      <w:r w:rsidRPr="00C6025D">
        <w:rPr>
          <w:rFonts w:ascii="Calibri" w:eastAsia="Calibri" w:hAnsi="Calibri" w:cs="Times New Roman"/>
          <w:b/>
          <w:color w:val="00B0F0"/>
          <w:sz w:val="24"/>
          <w:szCs w:val="24"/>
        </w:rPr>
        <w:t>BASE MONETAIRE, MASSE MONETAIRE ET SES CONTREPARTIES</w:t>
      </w:r>
      <w:bookmarkEnd w:id="13"/>
    </w:p>
    <w:p w:rsidR="00A93179" w:rsidRPr="00A84001" w:rsidRDefault="00A93179" w:rsidP="00A93179">
      <w:pPr>
        <w:pStyle w:val="Titre2"/>
        <w:spacing w:after="120" w:line="240" w:lineRule="auto"/>
        <w:rPr>
          <w:rFonts w:ascii="Calibri" w:eastAsia="Calibri" w:hAnsi="Calibri" w:cs="Times New Roman"/>
          <w:sz w:val="24"/>
          <w:szCs w:val="24"/>
        </w:rPr>
      </w:pPr>
      <w:bookmarkStart w:id="14" w:name="_Toc391300303"/>
      <w:r w:rsidRPr="00A84001">
        <w:rPr>
          <w:rFonts w:ascii="Calibri" w:eastAsia="Calibri" w:hAnsi="Calibri" w:cs="Times New Roman"/>
          <w:color w:val="00B0F0"/>
          <w:sz w:val="24"/>
          <w:szCs w:val="24"/>
        </w:rPr>
        <w:t>Base monétaire</w:t>
      </w:r>
      <w:bookmarkEnd w:id="14"/>
    </w:p>
    <w:p w:rsidR="00A93179" w:rsidRPr="00B91494" w:rsidRDefault="00A93179" w:rsidP="00A93179">
      <w:pPr>
        <w:pStyle w:val="Retraitcorpsdetexte3"/>
        <w:spacing w:after="120"/>
        <w:ind w:firstLine="0"/>
        <w:rPr>
          <w:color w:val="auto"/>
          <w:sz w:val="24"/>
          <w:szCs w:val="24"/>
        </w:rPr>
      </w:pPr>
      <w:r w:rsidRPr="00B91494">
        <w:rPr>
          <w:color w:val="auto"/>
          <w:sz w:val="24"/>
          <w:szCs w:val="24"/>
        </w:rPr>
        <w:t xml:space="preserve">En glissement sur douze mois, la base monétaire </w:t>
      </w:r>
      <w:r>
        <w:rPr>
          <w:color w:val="auto"/>
          <w:sz w:val="24"/>
          <w:szCs w:val="24"/>
        </w:rPr>
        <w:t xml:space="preserve">à fin avril 2014 </w:t>
      </w:r>
      <w:r w:rsidRPr="00B91494">
        <w:rPr>
          <w:color w:val="auto"/>
          <w:sz w:val="24"/>
          <w:szCs w:val="24"/>
        </w:rPr>
        <w:t xml:space="preserve">s’est accrue de 47.499,0 MBIF, soit 18,3 p.c., passant de 259.553,2 à 307.052,2 MBIF. Cette augmentation a concerné les dépôts du secteur bancaire (+34.926,9 MBIF), les billets et pièces en circulation (+15.917,1 MBIF) et les dépôts divers (+2.701,4 </w:t>
      </w:r>
      <w:r w:rsidRPr="00B91494">
        <w:rPr>
          <w:color w:val="auto"/>
          <w:sz w:val="24"/>
          <w:szCs w:val="24"/>
        </w:rPr>
        <w:lastRenderedPageBreak/>
        <w:t xml:space="preserve">MBIF). En revanche, les </w:t>
      </w:r>
      <w:r>
        <w:rPr>
          <w:color w:val="auto"/>
          <w:sz w:val="24"/>
          <w:szCs w:val="24"/>
        </w:rPr>
        <w:t>avoirs</w:t>
      </w:r>
      <w:r w:rsidRPr="00B91494">
        <w:rPr>
          <w:color w:val="auto"/>
          <w:sz w:val="24"/>
          <w:szCs w:val="24"/>
        </w:rPr>
        <w:t xml:space="preserve"> des sociétés à participation publique (-4.725,5 MBIF) et des établissements financiers</w:t>
      </w:r>
      <w:r>
        <w:rPr>
          <w:color w:val="auto"/>
          <w:sz w:val="24"/>
          <w:szCs w:val="24"/>
        </w:rPr>
        <w:t xml:space="preserve"> </w:t>
      </w:r>
      <w:r w:rsidRPr="00B91494">
        <w:rPr>
          <w:color w:val="auto"/>
          <w:sz w:val="24"/>
          <w:szCs w:val="24"/>
        </w:rPr>
        <w:t xml:space="preserve">(-1.271,1 MBIF) ont diminué. </w:t>
      </w:r>
    </w:p>
    <w:p w:rsidR="00A93179" w:rsidRPr="00A84001" w:rsidRDefault="00A93179" w:rsidP="00A93179">
      <w:pPr>
        <w:pStyle w:val="Titre2"/>
        <w:spacing w:after="120"/>
        <w:rPr>
          <w:rFonts w:ascii="Calibri" w:eastAsia="Calibri" w:hAnsi="Calibri" w:cs="Times New Roman"/>
          <w:sz w:val="24"/>
          <w:szCs w:val="24"/>
        </w:rPr>
      </w:pPr>
      <w:bookmarkStart w:id="15" w:name="_Toc391300304"/>
      <w:r w:rsidRPr="00A84001">
        <w:rPr>
          <w:rFonts w:ascii="Calibri" w:eastAsia="Calibri" w:hAnsi="Calibri" w:cs="Times New Roman"/>
          <w:color w:val="00B0F0"/>
          <w:sz w:val="24"/>
          <w:szCs w:val="24"/>
        </w:rPr>
        <w:t>Masse monétaire au sens large (M3)</w:t>
      </w:r>
      <w:bookmarkEnd w:id="15"/>
    </w:p>
    <w:p w:rsidR="00A93179" w:rsidRPr="000C2885" w:rsidRDefault="00A93179" w:rsidP="00A93179">
      <w:pPr>
        <w:spacing w:after="120"/>
        <w:jc w:val="both"/>
        <w:rPr>
          <w:rFonts w:ascii="Calibri" w:eastAsia="Calibri" w:hAnsi="Calibri" w:cs="Times New Roman"/>
          <w:sz w:val="24"/>
          <w:szCs w:val="24"/>
        </w:rPr>
      </w:pPr>
      <w:r>
        <w:rPr>
          <w:rFonts w:ascii="Calibri" w:eastAsia="Calibri" w:hAnsi="Calibri" w:cs="Times New Roman"/>
          <w:sz w:val="24"/>
          <w:szCs w:val="24"/>
        </w:rPr>
        <w:t>En glissement annuel</w:t>
      </w:r>
      <w:r w:rsidRPr="00B91494">
        <w:rPr>
          <w:rFonts w:ascii="Calibri" w:eastAsia="Calibri" w:hAnsi="Calibri" w:cs="Times New Roman"/>
          <w:sz w:val="24"/>
          <w:szCs w:val="24"/>
        </w:rPr>
        <w:t>, la masse monétaire M3</w:t>
      </w:r>
      <w:r>
        <w:rPr>
          <w:rFonts w:ascii="Calibri" w:eastAsia="Calibri" w:hAnsi="Calibri" w:cs="Times New Roman"/>
          <w:sz w:val="24"/>
          <w:szCs w:val="24"/>
        </w:rPr>
        <w:t xml:space="preserve"> à fin </w:t>
      </w:r>
      <w:r w:rsidR="00E466B8">
        <w:rPr>
          <w:rFonts w:ascii="Calibri" w:eastAsia="Calibri" w:hAnsi="Calibri" w:cs="Times New Roman"/>
          <w:sz w:val="24"/>
          <w:szCs w:val="24"/>
        </w:rPr>
        <w:t>a</w:t>
      </w:r>
      <w:r>
        <w:rPr>
          <w:rFonts w:ascii="Calibri" w:eastAsia="Calibri" w:hAnsi="Calibri" w:cs="Times New Roman"/>
          <w:sz w:val="24"/>
          <w:szCs w:val="24"/>
        </w:rPr>
        <w:t>vril 2014</w:t>
      </w:r>
      <w:r w:rsidRPr="00B91494">
        <w:rPr>
          <w:rFonts w:ascii="Calibri" w:eastAsia="Calibri" w:hAnsi="Calibri" w:cs="Times New Roman"/>
          <w:sz w:val="24"/>
          <w:szCs w:val="24"/>
        </w:rPr>
        <w:t xml:space="preserve"> (981.015,9 contre 882.632,6 MBIF) a sensiblement progressé de 98.383,3 MBIF, soi</w:t>
      </w:r>
      <w:r w:rsidRPr="000C2885">
        <w:rPr>
          <w:rFonts w:ascii="Calibri" w:eastAsia="Calibri" w:hAnsi="Calibri" w:cs="Times New Roman"/>
          <w:sz w:val="24"/>
          <w:szCs w:val="24"/>
        </w:rPr>
        <w:t xml:space="preserve">t 11,1 p.c. en liaison avec l’accroissement de la composante M2 (+81.689,7 MBIF) et des dépôts en devises des résidents (+16.693,6 MBIF). </w:t>
      </w:r>
    </w:p>
    <w:p w:rsidR="00A93179" w:rsidRPr="000C2885" w:rsidRDefault="00A93179" w:rsidP="00A93179">
      <w:pPr>
        <w:spacing w:after="120"/>
        <w:jc w:val="both"/>
        <w:rPr>
          <w:rFonts w:ascii="Calibri" w:eastAsia="Calibri" w:hAnsi="Calibri" w:cs="Times New Roman"/>
          <w:sz w:val="24"/>
          <w:szCs w:val="24"/>
        </w:rPr>
      </w:pPr>
      <w:r w:rsidRPr="000C2885">
        <w:rPr>
          <w:rFonts w:ascii="Calibri" w:eastAsia="Calibri" w:hAnsi="Calibri" w:cs="Times New Roman"/>
          <w:sz w:val="24"/>
          <w:szCs w:val="24"/>
        </w:rPr>
        <w:t>L’expansion de la masse monétaire (M2) est imputable aux disponibilités monétaires (+44.336,4 MBIF) et aux dépôts à terme en BIF (+37.353,3 MBIF). La hausse des disponibilités monétaires a concerné</w:t>
      </w:r>
      <w:r>
        <w:rPr>
          <w:rFonts w:ascii="Calibri" w:eastAsia="Calibri" w:hAnsi="Calibri" w:cs="Times New Roman"/>
          <w:sz w:val="24"/>
          <w:szCs w:val="24"/>
        </w:rPr>
        <w:t>,</w:t>
      </w:r>
      <w:r w:rsidRPr="000C2885">
        <w:rPr>
          <w:rFonts w:ascii="Calibri" w:eastAsia="Calibri" w:hAnsi="Calibri" w:cs="Times New Roman"/>
          <w:sz w:val="24"/>
          <w:szCs w:val="24"/>
        </w:rPr>
        <w:t xml:space="preserve"> à la fois</w:t>
      </w:r>
      <w:r>
        <w:rPr>
          <w:rFonts w:ascii="Calibri" w:eastAsia="Calibri" w:hAnsi="Calibri" w:cs="Times New Roman"/>
          <w:sz w:val="24"/>
          <w:szCs w:val="24"/>
        </w:rPr>
        <w:t>,</w:t>
      </w:r>
      <w:r w:rsidRPr="000C2885">
        <w:rPr>
          <w:rFonts w:ascii="Calibri" w:eastAsia="Calibri" w:hAnsi="Calibri" w:cs="Times New Roman"/>
          <w:sz w:val="24"/>
          <w:szCs w:val="24"/>
        </w:rPr>
        <w:t xml:space="preserve"> les dépôts à vue (+31.714,0 MBIF) et la circulation fiduciaire hors banques (+12.622,4 MBIF). </w:t>
      </w:r>
    </w:p>
    <w:p w:rsidR="00A93179" w:rsidRDefault="00A93179" w:rsidP="00A93179">
      <w:pPr>
        <w:pStyle w:val="Retraitcorpsdetexte"/>
        <w:spacing w:after="120"/>
        <w:ind w:firstLine="0"/>
        <w:rPr>
          <w:sz w:val="24"/>
        </w:rPr>
      </w:pPr>
      <w:r w:rsidRPr="000C2885">
        <w:rPr>
          <w:sz w:val="24"/>
        </w:rPr>
        <w:t xml:space="preserve">L’augmentation des dépôts à vue en BIF a </w:t>
      </w:r>
      <w:r>
        <w:rPr>
          <w:sz w:val="24"/>
        </w:rPr>
        <w:t>concerné</w:t>
      </w:r>
      <w:r w:rsidRPr="000C2885">
        <w:rPr>
          <w:sz w:val="24"/>
        </w:rPr>
        <w:t xml:space="preserve"> </w:t>
      </w:r>
      <w:r>
        <w:rPr>
          <w:sz w:val="24"/>
        </w:rPr>
        <w:t xml:space="preserve">principalement </w:t>
      </w:r>
      <w:r w:rsidRPr="000C2885">
        <w:rPr>
          <w:sz w:val="24"/>
        </w:rPr>
        <w:t>les dépôts des particuliers (+8.325.4 MBIF), des entreprises privées (+18.521,8 MBIF), des sociétés à participation publique (+1.702,3 MBIF)</w:t>
      </w:r>
      <w:r>
        <w:rPr>
          <w:sz w:val="24"/>
        </w:rPr>
        <w:t xml:space="preserve"> et</w:t>
      </w:r>
      <w:r w:rsidRPr="000C2885">
        <w:rPr>
          <w:sz w:val="24"/>
        </w:rPr>
        <w:t xml:space="preserve"> ceux regroupés dans les </w:t>
      </w:r>
      <w:r>
        <w:rPr>
          <w:sz w:val="24"/>
        </w:rPr>
        <w:t>« </w:t>
      </w:r>
      <w:r w:rsidRPr="000C2885">
        <w:rPr>
          <w:sz w:val="24"/>
        </w:rPr>
        <w:t>autres comptes</w:t>
      </w:r>
      <w:r>
        <w:rPr>
          <w:sz w:val="24"/>
        </w:rPr>
        <w:t> »</w:t>
      </w:r>
      <w:r w:rsidRPr="000C2885">
        <w:rPr>
          <w:sz w:val="24"/>
        </w:rPr>
        <w:t xml:space="preserve"> (+3.449,4 MBIF)</w:t>
      </w:r>
      <w:r>
        <w:rPr>
          <w:sz w:val="24"/>
        </w:rPr>
        <w:t>.</w:t>
      </w:r>
      <w:r w:rsidRPr="000C2885">
        <w:rPr>
          <w:sz w:val="24"/>
        </w:rPr>
        <w:t xml:space="preserve"> </w:t>
      </w:r>
    </w:p>
    <w:p w:rsidR="00A93179" w:rsidRPr="000C2885" w:rsidRDefault="00A93179" w:rsidP="00A93179">
      <w:pPr>
        <w:pStyle w:val="Retraitcorpsdetexte"/>
        <w:spacing w:after="120"/>
        <w:ind w:firstLine="0"/>
        <w:rPr>
          <w:sz w:val="24"/>
        </w:rPr>
      </w:pPr>
      <w:r w:rsidRPr="000C2885">
        <w:rPr>
          <w:sz w:val="24"/>
        </w:rPr>
        <w:t xml:space="preserve">L’accroissement des dépôts à terme et d’épargne en BIF a résulté de la hausse des placements des particuliers (+12.188,1 MBIF), des entreprises privées (+8.083,7 MBIF) et </w:t>
      </w:r>
      <w:r>
        <w:rPr>
          <w:sz w:val="24"/>
        </w:rPr>
        <w:t>des dépôts</w:t>
      </w:r>
      <w:r w:rsidRPr="000C2885">
        <w:rPr>
          <w:sz w:val="24"/>
        </w:rPr>
        <w:t xml:space="preserve"> regroupés dans les « autres comptes » (+25.026,4 MBIF). En revanche, </w:t>
      </w:r>
      <w:r>
        <w:rPr>
          <w:sz w:val="24"/>
        </w:rPr>
        <w:t>ceux</w:t>
      </w:r>
      <w:r w:rsidRPr="000C2885">
        <w:rPr>
          <w:sz w:val="24"/>
        </w:rPr>
        <w:t xml:space="preserve"> des sociétés à participation publique et des établissements financiers ont diminué de 7.921,0 et 23,9 MBIF respectivement. </w:t>
      </w:r>
    </w:p>
    <w:p w:rsidR="00A93179" w:rsidRPr="000C2885" w:rsidRDefault="00A93179" w:rsidP="00A93179">
      <w:pPr>
        <w:pStyle w:val="Retraitcorpsdetexte"/>
        <w:spacing w:after="120"/>
        <w:ind w:firstLine="0"/>
        <w:rPr>
          <w:color w:val="FF0000"/>
          <w:sz w:val="24"/>
        </w:rPr>
      </w:pPr>
      <w:r>
        <w:rPr>
          <w:sz w:val="24"/>
        </w:rPr>
        <w:t>Pour sa part, l</w:t>
      </w:r>
      <w:r w:rsidRPr="000C2885">
        <w:rPr>
          <w:sz w:val="24"/>
        </w:rPr>
        <w:t xml:space="preserve">’augmentation des dépôts en devises des résidents a concerné </w:t>
      </w:r>
      <w:r>
        <w:rPr>
          <w:sz w:val="24"/>
        </w:rPr>
        <w:t>ceux</w:t>
      </w:r>
      <w:r w:rsidRPr="000C2885">
        <w:rPr>
          <w:sz w:val="24"/>
        </w:rPr>
        <w:t xml:space="preserve"> des particuliers (+13.163,7 MBIF) et des entreprises privées (+10.023,0 MBIF).  </w:t>
      </w:r>
      <w:r>
        <w:rPr>
          <w:sz w:val="24"/>
        </w:rPr>
        <w:t>Par contre</w:t>
      </w:r>
      <w:r w:rsidRPr="000C2885">
        <w:rPr>
          <w:sz w:val="24"/>
        </w:rPr>
        <w:t xml:space="preserve">, les dépôts des sociétés à </w:t>
      </w:r>
      <w:r w:rsidRPr="000C2885">
        <w:rPr>
          <w:sz w:val="24"/>
        </w:rPr>
        <w:lastRenderedPageBreak/>
        <w:t>participation publique (-5.553,0 MBIF), ceux regroupés dans les autres comptes</w:t>
      </w:r>
      <w:r>
        <w:rPr>
          <w:rFonts w:asciiTheme="minorHAnsi" w:hAnsiTheme="minorHAnsi"/>
          <w:sz w:val="24"/>
        </w:rPr>
        <w:t xml:space="preserve">   </w:t>
      </w:r>
      <w:r w:rsidRPr="000C2885">
        <w:rPr>
          <w:sz w:val="24"/>
        </w:rPr>
        <w:t xml:space="preserve"> (-415,1 MBIF) et ceux des établissements financiers (-525,0 MBIF) ont diminué. </w:t>
      </w:r>
      <w:r>
        <w:rPr>
          <w:sz w:val="24"/>
        </w:rPr>
        <w:t xml:space="preserve"> </w:t>
      </w:r>
    </w:p>
    <w:p w:rsidR="00A93179" w:rsidRPr="00A84001" w:rsidRDefault="00A93179" w:rsidP="00A93179">
      <w:pPr>
        <w:pStyle w:val="Titre2"/>
        <w:spacing w:after="120"/>
        <w:rPr>
          <w:rFonts w:ascii="Calibri" w:eastAsia="Calibri" w:hAnsi="Calibri" w:cs="Times New Roman"/>
          <w:color w:val="00B0F0"/>
          <w:sz w:val="24"/>
          <w:szCs w:val="24"/>
        </w:rPr>
      </w:pPr>
      <w:bookmarkStart w:id="16" w:name="_Toc391300305"/>
      <w:r w:rsidRPr="00A84001">
        <w:rPr>
          <w:rFonts w:ascii="Calibri" w:eastAsia="Calibri" w:hAnsi="Calibri" w:cs="Times New Roman"/>
          <w:color w:val="00B0F0"/>
          <w:sz w:val="24"/>
          <w:szCs w:val="24"/>
        </w:rPr>
        <w:t>Contreparties</w:t>
      </w:r>
      <w:bookmarkEnd w:id="16"/>
    </w:p>
    <w:p w:rsidR="00A93179" w:rsidRPr="000C2885" w:rsidRDefault="00A93179" w:rsidP="00A93179">
      <w:pPr>
        <w:spacing w:after="120"/>
        <w:jc w:val="both"/>
        <w:rPr>
          <w:rFonts w:ascii="Calibri" w:eastAsia="Calibri" w:hAnsi="Calibri" w:cs="Times New Roman"/>
          <w:sz w:val="24"/>
          <w:szCs w:val="24"/>
        </w:rPr>
      </w:pPr>
      <w:r w:rsidRPr="000C2885">
        <w:rPr>
          <w:rFonts w:ascii="Calibri" w:eastAsia="Calibri" w:hAnsi="Calibri" w:cs="Times New Roman"/>
          <w:sz w:val="24"/>
          <w:szCs w:val="24"/>
        </w:rPr>
        <w:t>S’établissant à 1.030.897,4 contre 950.863,2 MBIF à fin avril 2013, le crédit intérieur s’est sensiblement accru de 80.034,2 MBIF, soit 8,4 p.c., en rapport avec l’augmentation des créances nettes sur l’Etat (+59.358,2 MBIF) et des créances sur l’économie (+20.676,0 MBIF).</w:t>
      </w:r>
    </w:p>
    <w:p w:rsidR="00A93179" w:rsidRPr="000C2885" w:rsidRDefault="00A93179" w:rsidP="00A93179">
      <w:pPr>
        <w:spacing w:after="120"/>
        <w:jc w:val="both"/>
        <w:rPr>
          <w:rFonts w:ascii="Calibri" w:eastAsia="Calibri" w:hAnsi="Calibri" w:cs="Times New Roman"/>
          <w:sz w:val="24"/>
          <w:szCs w:val="24"/>
        </w:rPr>
      </w:pPr>
      <w:r w:rsidRPr="000C2885">
        <w:rPr>
          <w:rFonts w:ascii="Calibri" w:eastAsia="Calibri" w:hAnsi="Calibri" w:cs="Times New Roman"/>
          <w:sz w:val="24"/>
          <w:szCs w:val="24"/>
        </w:rPr>
        <w:t xml:space="preserve">L’accroissement de l’endettement net de l’Etat a principalement résulté de la hausse de l’encours des Bons et Obligations du Trésor détenus par les banques commerciales (+95.372,7 MBIF) </w:t>
      </w:r>
      <w:r>
        <w:rPr>
          <w:rFonts w:ascii="Calibri" w:eastAsia="Calibri" w:hAnsi="Calibri" w:cs="Times New Roman"/>
          <w:sz w:val="24"/>
          <w:szCs w:val="24"/>
        </w:rPr>
        <w:t xml:space="preserve">qui a </w:t>
      </w:r>
      <w:r w:rsidRPr="000C2885">
        <w:rPr>
          <w:rFonts w:ascii="Calibri" w:eastAsia="Calibri" w:hAnsi="Calibri" w:cs="Times New Roman"/>
          <w:sz w:val="24"/>
          <w:szCs w:val="24"/>
        </w:rPr>
        <w:t>contrebalancée la baisse des avances de la Banque Centrale</w:t>
      </w:r>
      <w:r>
        <w:rPr>
          <w:rFonts w:ascii="Calibri" w:eastAsia="Calibri" w:hAnsi="Calibri" w:cs="Times New Roman"/>
          <w:sz w:val="24"/>
          <w:szCs w:val="24"/>
        </w:rPr>
        <w:t xml:space="preserve"> </w:t>
      </w:r>
      <w:r w:rsidRPr="000C2885">
        <w:rPr>
          <w:rFonts w:ascii="Calibri" w:eastAsia="Calibri" w:hAnsi="Calibri" w:cs="Times New Roman"/>
          <w:sz w:val="24"/>
          <w:szCs w:val="24"/>
        </w:rPr>
        <w:t xml:space="preserve">(-4.499,0 MBIF) et l’augmentation des dépôts du secteur gouvernemental (+31.159,6 MBIF).  </w:t>
      </w:r>
    </w:p>
    <w:p w:rsidR="00A93179" w:rsidRPr="000C2885" w:rsidRDefault="00A93179" w:rsidP="00A93179">
      <w:pPr>
        <w:spacing w:after="120"/>
        <w:jc w:val="both"/>
        <w:rPr>
          <w:rFonts w:ascii="Calibri" w:eastAsia="Calibri" w:hAnsi="Calibri" w:cs="Times New Roman"/>
          <w:sz w:val="24"/>
          <w:szCs w:val="24"/>
        </w:rPr>
      </w:pPr>
      <w:r w:rsidRPr="000C2885">
        <w:rPr>
          <w:rFonts w:ascii="Calibri" w:eastAsia="Calibri" w:hAnsi="Calibri" w:cs="Times New Roman"/>
          <w:sz w:val="24"/>
          <w:szCs w:val="24"/>
        </w:rPr>
        <w:t>La progression des créances sur l’économie a concerné les financements à moyen (+5.920,7 MBIF) et long termes (+13.257,1 MBIF) ainsi que les concours divers (+19.805,6 MBIF). En revanche, les crédits de trésorerie (-23.204,5 MBIF), les crédits à l’exportation (-1.018,0 MBIF) et à l’importation (-1.066,5 MBIF) ont diminué.</w:t>
      </w:r>
    </w:p>
    <w:p w:rsidR="00A93179" w:rsidRDefault="00A93179" w:rsidP="00A93179">
      <w:pPr>
        <w:spacing w:after="120"/>
        <w:jc w:val="both"/>
        <w:rPr>
          <w:rFonts w:ascii="Calibri" w:eastAsia="Calibri" w:hAnsi="Calibri" w:cs="Times New Roman"/>
          <w:sz w:val="24"/>
          <w:szCs w:val="24"/>
        </w:rPr>
      </w:pPr>
      <w:r w:rsidRPr="00910653">
        <w:rPr>
          <w:rFonts w:ascii="Calibri" w:eastAsia="Calibri" w:hAnsi="Calibri" w:cs="Times New Roman"/>
          <w:sz w:val="24"/>
          <w:szCs w:val="24"/>
        </w:rPr>
        <w:t>Passant de 196.650,5 à 214.342,0 MBIF de fin avril 2013 à fin avril 2014, les avoirs extérieurs nets se sont accrus de 17.691,5 MBIF, soit 9,0 p.c. Exprimées en dollars américains, les réserves de change nettes ont également progressé de 9,6 p.c., passant de 126,6 à 138,7 millions</w:t>
      </w:r>
      <w:r w:rsidRPr="000C2885">
        <w:rPr>
          <w:rFonts w:ascii="Calibri" w:eastAsia="Calibri" w:hAnsi="Calibri" w:cs="Times New Roman"/>
          <w:sz w:val="24"/>
          <w:szCs w:val="24"/>
        </w:rPr>
        <w:t xml:space="preserve">. </w:t>
      </w:r>
      <w:bookmarkStart w:id="17" w:name="_Toc391300306"/>
    </w:p>
    <w:p w:rsidR="00A93179" w:rsidRPr="000C2885" w:rsidRDefault="00A93179" w:rsidP="00A93179">
      <w:pPr>
        <w:spacing w:after="120"/>
        <w:jc w:val="both"/>
        <w:rPr>
          <w:b/>
          <w:color w:val="00B0F0"/>
          <w:sz w:val="24"/>
          <w:szCs w:val="24"/>
          <w:lang w:val="fr-BE"/>
        </w:rPr>
      </w:pPr>
      <w:r w:rsidRPr="000C2885">
        <w:rPr>
          <w:b/>
          <w:color w:val="00B0F0"/>
          <w:sz w:val="24"/>
          <w:szCs w:val="24"/>
          <w:lang w:val="fr-BE"/>
        </w:rPr>
        <w:t>VI. COMMERCE EXTERIEUR</w:t>
      </w:r>
      <w:bookmarkEnd w:id="17"/>
    </w:p>
    <w:p w:rsidR="00A93179" w:rsidRPr="000C2885" w:rsidRDefault="00A93179" w:rsidP="00A93179">
      <w:pPr>
        <w:pStyle w:val="Titre2"/>
        <w:spacing w:after="120"/>
        <w:rPr>
          <w:rFonts w:asciiTheme="minorHAnsi" w:hAnsiTheme="minorHAnsi" w:cs="Calibri"/>
          <w:b w:val="0"/>
          <w:sz w:val="24"/>
          <w:szCs w:val="24"/>
          <w:lang w:val="fr-BE"/>
        </w:rPr>
      </w:pPr>
      <w:bookmarkStart w:id="18" w:name="_Toc391300307"/>
      <w:r w:rsidRPr="000C2885">
        <w:rPr>
          <w:rFonts w:asciiTheme="minorHAnsi" w:hAnsiTheme="minorHAnsi" w:cs="Calibri"/>
          <w:color w:val="00B0F0"/>
          <w:sz w:val="24"/>
          <w:szCs w:val="24"/>
          <w:lang w:val="fr-BE"/>
        </w:rPr>
        <w:lastRenderedPageBreak/>
        <w:t>Exportations</w:t>
      </w:r>
      <w:bookmarkEnd w:id="18"/>
    </w:p>
    <w:p w:rsidR="00A93179" w:rsidRPr="000C2885" w:rsidRDefault="00933213" w:rsidP="00A93179">
      <w:pPr>
        <w:spacing w:after="120"/>
        <w:jc w:val="both"/>
        <w:rPr>
          <w:sz w:val="24"/>
          <w:szCs w:val="24"/>
        </w:rPr>
      </w:pPr>
      <w:r>
        <w:rPr>
          <w:sz w:val="24"/>
          <w:szCs w:val="24"/>
          <w:lang w:val="fr-BE"/>
        </w:rPr>
        <w:t>L</w:t>
      </w:r>
      <w:r w:rsidR="00A93179" w:rsidRPr="000C2885">
        <w:rPr>
          <w:sz w:val="24"/>
          <w:szCs w:val="24"/>
        </w:rPr>
        <w:t xml:space="preserve">es exportations </w:t>
      </w:r>
      <w:r>
        <w:rPr>
          <w:sz w:val="24"/>
          <w:szCs w:val="24"/>
        </w:rPr>
        <w:t>cumulées</w:t>
      </w:r>
      <w:r w:rsidR="00A93179">
        <w:rPr>
          <w:sz w:val="24"/>
          <w:szCs w:val="24"/>
        </w:rPr>
        <w:t xml:space="preserve"> </w:t>
      </w:r>
      <w:r>
        <w:rPr>
          <w:sz w:val="24"/>
          <w:szCs w:val="24"/>
        </w:rPr>
        <w:t>afin avril</w:t>
      </w:r>
      <w:r w:rsidR="00A93179" w:rsidRPr="000C2885">
        <w:rPr>
          <w:sz w:val="24"/>
          <w:szCs w:val="24"/>
        </w:rPr>
        <w:t xml:space="preserve"> 2014 ont enregistré </w:t>
      </w:r>
      <w:r>
        <w:rPr>
          <w:sz w:val="24"/>
          <w:szCs w:val="24"/>
        </w:rPr>
        <w:t>un recul</w:t>
      </w:r>
      <w:r w:rsidR="00A93179" w:rsidRPr="000C2885">
        <w:rPr>
          <w:sz w:val="24"/>
          <w:szCs w:val="24"/>
        </w:rPr>
        <w:t xml:space="preserve"> de 1,1 p.c. en valeur</w:t>
      </w:r>
      <w:r w:rsidR="00A93179">
        <w:rPr>
          <w:sz w:val="24"/>
          <w:szCs w:val="24"/>
        </w:rPr>
        <w:t>,</w:t>
      </w:r>
      <w:r w:rsidR="00A93179" w:rsidRPr="000C2885">
        <w:rPr>
          <w:sz w:val="24"/>
          <w:szCs w:val="24"/>
        </w:rPr>
        <w:t xml:space="preserve"> revenant de 39.986,0 à 39.545,4 MBIF</w:t>
      </w:r>
      <w:r w:rsidR="00A93179">
        <w:rPr>
          <w:sz w:val="24"/>
          <w:szCs w:val="24"/>
        </w:rPr>
        <w:t>,</w:t>
      </w:r>
      <w:r w:rsidR="00A93179" w:rsidRPr="000C2885">
        <w:rPr>
          <w:sz w:val="24"/>
          <w:szCs w:val="24"/>
        </w:rPr>
        <w:t xml:space="preserve"> et une hausse de 52,</w:t>
      </w:r>
      <w:r w:rsidR="00A93179">
        <w:rPr>
          <w:sz w:val="24"/>
          <w:szCs w:val="24"/>
        </w:rPr>
        <w:t>5</w:t>
      </w:r>
      <w:r w:rsidR="00A93179" w:rsidRPr="000C2885">
        <w:rPr>
          <w:sz w:val="24"/>
          <w:szCs w:val="24"/>
        </w:rPr>
        <w:t xml:space="preserve"> p.c</w:t>
      </w:r>
      <w:r w:rsidR="00A93179">
        <w:rPr>
          <w:sz w:val="24"/>
          <w:szCs w:val="24"/>
        </w:rPr>
        <w:t>. en volume,</w:t>
      </w:r>
      <w:r>
        <w:rPr>
          <w:sz w:val="24"/>
          <w:szCs w:val="24"/>
        </w:rPr>
        <w:t xml:space="preserve"> passant de 13.274 à 20.239 T correspondant à la même période de l’année 2013.</w:t>
      </w:r>
    </w:p>
    <w:p w:rsidR="00A93179" w:rsidRPr="000C2885" w:rsidRDefault="00933213" w:rsidP="00A93179">
      <w:pPr>
        <w:spacing w:after="120"/>
        <w:jc w:val="both"/>
        <w:rPr>
          <w:sz w:val="24"/>
          <w:szCs w:val="24"/>
        </w:rPr>
      </w:pPr>
      <w:r>
        <w:rPr>
          <w:sz w:val="24"/>
          <w:szCs w:val="24"/>
        </w:rPr>
        <w:t>En valeur cette</w:t>
      </w:r>
      <w:r w:rsidR="00A93179" w:rsidRPr="000C2885">
        <w:rPr>
          <w:sz w:val="24"/>
          <w:szCs w:val="24"/>
        </w:rPr>
        <w:t xml:space="preserve"> baisse a concerné principalement les expéditions des produits primaires (24.801,9 contre 31.617,0</w:t>
      </w:r>
      <w:r w:rsidR="00A93179">
        <w:rPr>
          <w:sz w:val="24"/>
          <w:szCs w:val="24"/>
        </w:rPr>
        <w:t xml:space="preserve"> MBIF</w:t>
      </w:r>
      <w:r w:rsidR="00A93179" w:rsidRPr="000C2885">
        <w:rPr>
          <w:sz w:val="24"/>
          <w:szCs w:val="24"/>
        </w:rPr>
        <w:t>)</w:t>
      </w:r>
      <w:r>
        <w:rPr>
          <w:sz w:val="24"/>
          <w:szCs w:val="24"/>
        </w:rPr>
        <w:t xml:space="preserve"> surtout le caf</w:t>
      </w:r>
      <w:r w:rsidR="00932958">
        <w:rPr>
          <w:sz w:val="24"/>
          <w:szCs w:val="24"/>
        </w:rPr>
        <w:t>é (7.591,8 contre 14.332,1MBIF),</w:t>
      </w:r>
      <w:r w:rsidR="00A93179">
        <w:rPr>
          <w:sz w:val="24"/>
          <w:szCs w:val="24"/>
        </w:rPr>
        <w:t xml:space="preserve"> </w:t>
      </w:r>
      <w:r w:rsidR="00932958" w:rsidRPr="000C2885">
        <w:rPr>
          <w:sz w:val="24"/>
          <w:szCs w:val="24"/>
        </w:rPr>
        <w:t>le thé (11.416,4 contre 12.301,1MBIF)</w:t>
      </w:r>
      <w:r w:rsidR="00932958">
        <w:rPr>
          <w:sz w:val="24"/>
          <w:szCs w:val="24"/>
        </w:rPr>
        <w:t xml:space="preserve"> et</w:t>
      </w:r>
      <w:r w:rsidR="00932958" w:rsidRPr="000C2885">
        <w:rPr>
          <w:sz w:val="24"/>
          <w:szCs w:val="24"/>
        </w:rPr>
        <w:t xml:space="preserve"> les peaux brutes (766,7 contre 1.284,3 MBIF)</w:t>
      </w:r>
      <w:r w:rsidR="00932958">
        <w:rPr>
          <w:sz w:val="24"/>
          <w:szCs w:val="24"/>
        </w:rPr>
        <w:t xml:space="preserve"> contrebalancé par la hausse des exportations </w:t>
      </w:r>
      <w:r w:rsidR="00A93179">
        <w:rPr>
          <w:sz w:val="24"/>
          <w:szCs w:val="24"/>
        </w:rPr>
        <w:t xml:space="preserve">des produits manufacturés </w:t>
      </w:r>
      <w:r w:rsidR="00A93179" w:rsidRPr="000C2885">
        <w:rPr>
          <w:sz w:val="24"/>
          <w:szCs w:val="24"/>
        </w:rPr>
        <w:t>(14.743,5 contre 8.369,0 MBIF).</w:t>
      </w:r>
      <w:r w:rsidR="00A93179">
        <w:rPr>
          <w:sz w:val="24"/>
          <w:szCs w:val="24"/>
        </w:rPr>
        <w:t xml:space="preserve"> </w:t>
      </w:r>
    </w:p>
    <w:p w:rsidR="00A93179" w:rsidRPr="000C2885" w:rsidRDefault="00A93179" w:rsidP="00A93179">
      <w:pPr>
        <w:spacing w:after="120"/>
        <w:jc w:val="both"/>
        <w:rPr>
          <w:sz w:val="24"/>
          <w:szCs w:val="24"/>
        </w:rPr>
      </w:pPr>
      <w:r w:rsidRPr="000C2885">
        <w:rPr>
          <w:sz w:val="24"/>
          <w:szCs w:val="24"/>
        </w:rPr>
        <w:t xml:space="preserve">En volume, la hausse des exportations </w:t>
      </w:r>
      <w:r w:rsidR="00932958">
        <w:rPr>
          <w:sz w:val="24"/>
          <w:szCs w:val="24"/>
        </w:rPr>
        <w:t>est liée à la progression des produits manufacturés(12.056 contre 4.965 T)</w:t>
      </w:r>
      <w:r>
        <w:rPr>
          <w:sz w:val="24"/>
          <w:szCs w:val="24"/>
        </w:rPr>
        <w:t xml:space="preserve"> </w:t>
      </w:r>
      <w:r w:rsidRPr="000C2885">
        <w:rPr>
          <w:sz w:val="24"/>
          <w:szCs w:val="24"/>
        </w:rPr>
        <w:t>principalement</w:t>
      </w:r>
      <w:r>
        <w:rPr>
          <w:sz w:val="24"/>
          <w:szCs w:val="24"/>
        </w:rPr>
        <w:t>,</w:t>
      </w:r>
      <w:r w:rsidRPr="000C2885">
        <w:rPr>
          <w:sz w:val="24"/>
          <w:szCs w:val="24"/>
        </w:rPr>
        <w:t xml:space="preserve"> les bières (2.458,1 contre 1.214,7 T), </w:t>
      </w:r>
      <w:r>
        <w:rPr>
          <w:sz w:val="24"/>
          <w:szCs w:val="24"/>
        </w:rPr>
        <w:t xml:space="preserve">les </w:t>
      </w:r>
      <w:r w:rsidRPr="000C2885">
        <w:rPr>
          <w:sz w:val="24"/>
          <w:szCs w:val="24"/>
        </w:rPr>
        <w:t>savons (2.732,7 contre 2.523,3 T), et</w:t>
      </w:r>
      <w:r>
        <w:rPr>
          <w:sz w:val="24"/>
          <w:szCs w:val="24"/>
        </w:rPr>
        <w:t xml:space="preserve"> les </w:t>
      </w:r>
      <w:r w:rsidRPr="000C2885">
        <w:rPr>
          <w:sz w:val="24"/>
          <w:szCs w:val="24"/>
        </w:rPr>
        <w:t xml:space="preserve">autres biens manufacturés </w:t>
      </w:r>
      <w:r w:rsidRPr="00C7725A">
        <w:rPr>
          <w:sz w:val="24"/>
          <w:szCs w:val="24"/>
        </w:rPr>
        <w:t>(6.596,8 contre 937,3</w:t>
      </w:r>
      <w:r w:rsidRPr="000C2885">
        <w:rPr>
          <w:sz w:val="24"/>
          <w:szCs w:val="24"/>
        </w:rPr>
        <w:t xml:space="preserve"> T) qui a contrebalancé la baisse des</w:t>
      </w:r>
      <w:r>
        <w:rPr>
          <w:sz w:val="24"/>
          <w:szCs w:val="24"/>
        </w:rPr>
        <w:t xml:space="preserve"> exportations des</w:t>
      </w:r>
      <w:r w:rsidRPr="000C2885">
        <w:rPr>
          <w:sz w:val="24"/>
          <w:szCs w:val="24"/>
        </w:rPr>
        <w:t xml:space="preserve"> produits primaires principalement le café</w:t>
      </w:r>
      <w:r>
        <w:rPr>
          <w:sz w:val="24"/>
          <w:szCs w:val="24"/>
        </w:rPr>
        <w:t xml:space="preserve"> </w:t>
      </w:r>
      <w:r w:rsidRPr="000C2885">
        <w:rPr>
          <w:sz w:val="24"/>
          <w:szCs w:val="24"/>
        </w:rPr>
        <w:t>(1.771,1 contre 4.106,4 T).</w:t>
      </w:r>
    </w:p>
    <w:p w:rsidR="00A93179" w:rsidRPr="000C2885" w:rsidRDefault="00A93179" w:rsidP="00A93179">
      <w:pPr>
        <w:pStyle w:val="Titre2"/>
        <w:spacing w:after="120"/>
        <w:rPr>
          <w:rFonts w:asciiTheme="minorHAnsi" w:hAnsiTheme="minorHAnsi"/>
          <w:b w:val="0"/>
          <w:color w:val="00B0F0"/>
          <w:sz w:val="24"/>
          <w:szCs w:val="24"/>
        </w:rPr>
      </w:pPr>
      <w:bookmarkStart w:id="19" w:name="_Toc391300308"/>
      <w:r w:rsidRPr="000C2885">
        <w:rPr>
          <w:rFonts w:asciiTheme="minorHAnsi" w:hAnsiTheme="minorHAnsi"/>
          <w:color w:val="00B0F0"/>
          <w:sz w:val="24"/>
          <w:szCs w:val="24"/>
        </w:rPr>
        <w:t>Importations</w:t>
      </w:r>
      <w:bookmarkEnd w:id="19"/>
    </w:p>
    <w:p w:rsidR="00A93179" w:rsidRPr="000C2885" w:rsidRDefault="003F1408" w:rsidP="00A93179">
      <w:pPr>
        <w:jc w:val="both"/>
        <w:rPr>
          <w:sz w:val="24"/>
          <w:szCs w:val="24"/>
        </w:rPr>
      </w:pPr>
      <w:r>
        <w:rPr>
          <w:sz w:val="24"/>
          <w:szCs w:val="24"/>
        </w:rPr>
        <w:t>L</w:t>
      </w:r>
      <w:r w:rsidR="00A93179" w:rsidRPr="000C2885">
        <w:rPr>
          <w:sz w:val="24"/>
          <w:szCs w:val="24"/>
        </w:rPr>
        <w:t xml:space="preserve">es importations cumulées </w:t>
      </w:r>
      <w:r w:rsidR="00A93179">
        <w:rPr>
          <w:sz w:val="24"/>
          <w:szCs w:val="24"/>
        </w:rPr>
        <w:t xml:space="preserve">à fin </w:t>
      </w:r>
      <w:r w:rsidR="00A93179" w:rsidRPr="000C2885">
        <w:rPr>
          <w:sz w:val="24"/>
          <w:szCs w:val="24"/>
        </w:rPr>
        <w:t xml:space="preserve">avril 2014 ont </w:t>
      </w:r>
      <w:r>
        <w:rPr>
          <w:sz w:val="24"/>
          <w:szCs w:val="24"/>
        </w:rPr>
        <w:t xml:space="preserve">enregistré un </w:t>
      </w:r>
      <w:r w:rsidR="003B22E0">
        <w:rPr>
          <w:sz w:val="24"/>
          <w:szCs w:val="24"/>
        </w:rPr>
        <w:t>recul</w:t>
      </w:r>
      <w:r w:rsidR="00A93179" w:rsidRPr="000C2885">
        <w:rPr>
          <w:sz w:val="24"/>
          <w:szCs w:val="24"/>
        </w:rPr>
        <w:t xml:space="preserve"> de 18,5 p.c. en valeur</w:t>
      </w:r>
      <w:r w:rsidR="00A93179">
        <w:rPr>
          <w:sz w:val="24"/>
          <w:szCs w:val="24"/>
        </w:rPr>
        <w:t>,</w:t>
      </w:r>
      <w:r w:rsidR="00A93179" w:rsidRPr="000C2885">
        <w:rPr>
          <w:sz w:val="24"/>
          <w:szCs w:val="24"/>
        </w:rPr>
        <w:t xml:space="preserve"> revenant de 450.322</w:t>
      </w:r>
      <w:r w:rsidR="003B22E0">
        <w:rPr>
          <w:sz w:val="24"/>
          <w:szCs w:val="24"/>
        </w:rPr>
        <w:t>,0</w:t>
      </w:r>
      <w:r w:rsidR="00A93179" w:rsidRPr="000C2885">
        <w:rPr>
          <w:sz w:val="24"/>
          <w:szCs w:val="24"/>
        </w:rPr>
        <w:t xml:space="preserve"> à 367.071</w:t>
      </w:r>
      <w:r w:rsidR="003B22E0">
        <w:rPr>
          <w:sz w:val="24"/>
          <w:szCs w:val="24"/>
        </w:rPr>
        <w:t>,1</w:t>
      </w:r>
      <w:r w:rsidR="00A93179" w:rsidRPr="000C2885">
        <w:rPr>
          <w:sz w:val="24"/>
          <w:szCs w:val="24"/>
        </w:rPr>
        <w:t xml:space="preserve"> MBIF</w:t>
      </w:r>
      <w:r w:rsidR="00A93179">
        <w:rPr>
          <w:sz w:val="24"/>
          <w:szCs w:val="24"/>
        </w:rPr>
        <w:t xml:space="preserve">, </w:t>
      </w:r>
      <w:r w:rsidR="003B22E0">
        <w:rPr>
          <w:sz w:val="24"/>
          <w:szCs w:val="24"/>
        </w:rPr>
        <w:t>contre une hausse</w:t>
      </w:r>
      <w:r w:rsidR="00A93179">
        <w:rPr>
          <w:sz w:val="24"/>
          <w:szCs w:val="24"/>
        </w:rPr>
        <w:t xml:space="preserve"> </w:t>
      </w:r>
      <w:r w:rsidR="00A93179" w:rsidRPr="000C2885">
        <w:rPr>
          <w:sz w:val="24"/>
          <w:szCs w:val="24"/>
        </w:rPr>
        <w:t>de 14,2 p.c. en volume</w:t>
      </w:r>
      <w:r w:rsidR="00A93179">
        <w:rPr>
          <w:sz w:val="24"/>
          <w:szCs w:val="24"/>
        </w:rPr>
        <w:t>,</w:t>
      </w:r>
      <w:r w:rsidR="00A93179" w:rsidRPr="000C2885">
        <w:rPr>
          <w:sz w:val="24"/>
          <w:szCs w:val="24"/>
        </w:rPr>
        <w:t xml:space="preserve"> passant de 243.862 à 278.513</w:t>
      </w:r>
      <w:r w:rsidR="00A93179">
        <w:rPr>
          <w:sz w:val="24"/>
          <w:szCs w:val="24"/>
        </w:rPr>
        <w:t xml:space="preserve"> </w:t>
      </w:r>
      <w:r w:rsidR="00A93179" w:rsidRPr="000C2885">
        <w:rPr>
          <w:sz w:val="24"/>
          <w:szCs w:val="24"/>
        </w:rPr>
        <w:t>T</w:t>
      </w:r>
      <w:r w:rsidR="00A93179">
        <w:rPr>
          <w:sz w:val="24"/>
          <w:szCs w:val="24"/>
        </w:rPr>
        <w:t>.</w:t>
      </w:r>
      <w:r w:rsidR="00A93179" w:rsidRPr="000C2885">
        <w:rPr>
          <w:sz w:val="24"/>
          <w:szCs w:val="24"/>
        </w:rPr>
        <w:t xml:space="preserve">  </w:t>
      </w:r>
    </w:p>
    <w:p w:rsidR="00A93179" w:rsidRDefault="00A93179" w:rsidP="00A93179">
      <w:pPr>
        <w:spacing w:after="120"/>
        <w:jc w:val="both"/>
        <w:rPr>
          <w:sz w:val="24"/>
          <w:szCs w:val="24"/>
        </w:rPr>
      </w:pPr>
      <w:bookmarkStart w:id="20" w:name="_Toc391300309"/>
      <w:r w:rsidRPr="000C2885">
        <w:rPr>
          <w:sz w:val="24"/>
          <w:szCs w:val="24"/>
        </w:rPr>
        <w:t xml:space="preserve">En valeur, </w:t>
      </w:r>
      <w:r>
        <w:rPr>
          <w:sz w:val="24"/>
          <w:szCs w:val="24"/>
        </w:rPr>
        <w:t>cette</w:t>
      </w:r>
      <w:r w:rsidRPr="000C2885">
        <w:rPr>
          <w:sz w:val="24"/>
          <w:szCs w:val="24"/>
        </w:rPr>
        <w:t xml:space="preserve"> baisse </w:t>
      </w:r>
      <w:r w:rsidR="003B22E0">
        <w:rPr>
          <w:sz w:val="24"/>
          <w:szCs w:val="24"/>
        </w:rPr>
        <w:t>est lié à la régression des mises en consommation</w:t>
      </w:r>
      <w:r>
        <w:rPr>
          <w:sz w:val="24"/>
          <w:szCs w:val="24"/>
        </w:rPr>
        <w:t xml:space="preserve"> </w:t>
      </w:r>
      <w:r w:rsidRPr="000C2885">
        <w:rPr>
          <w:sz w:val="24"/>
          <w:szCs w:val="24"/>
        </w:rPr>
        <w:t xml:space="preserve">biens de production (156.599 contre 186.677 MBIF) </w:t>
      </w:r>
      <w:r>
        <w:rPr>
          <w:sz w:val="24"/>
          <w:szCs w:val="24"/>
        </w:rPr>
        <w:t xml:space="preserve"> </w:t>
      </w:r>
      <w:r w:rsidR="003B22E0">
        <w:rPr>
          <w:sz w:val="24"/>
          <w:szCs w:val="24"/>
        </w:rPr>
        <w:t>notamment celles destinées à la métallurgie</w:t>
      </w:r>
      <w:r w:rsidR="003B22E0" w:rsidRPr="00247C2B">
        <w:rPr>
          <w:sz w:val="24"/>
          <w:szCs w:val="24"/>
        </w:rPr>
        <w:t xml:space="preserve"> (15.900 contre </w:t>
      </w:r>
      <w:r w:rsidR="003B22E0" w:rsidRPr="00247C2B">
        <w:rPr>
          <w:sz w:val="24"/>
          <w:szCs w:val="24"/>
        </w:rPr>
        <w:lastRenderedPageBreak/>
        <w:t>18.100 MBIF)</w:t>
      </w:r>
      <w:r w:rsidR="003B22E0">
        <w:rPr>
          <w:sz w:val="24"/>
          <w:szCs w:val="24"/>
        </w:rPr>
        <w:t xml:space="preserve"> à l’agriculture et élevage </w:t>
      </w:r>
      <w:r w:rsidR="003B22E0" w:rsidRPr="00247C2B">
        <w:rPr>
          <w:sz w:val="24"/>
          <w:szCs w:val="24"/>
        </w:rPr>
        <w:t>(11.151 contre 12.756 MBIF)</w:t>
      </w:r>
      <w:r w:rsidR="003B22E0">
        <w:rPr>
          <w:sz w:val="24"/>
          <w:szCs w:val="24"/>
        </w:rPr>
        <w:t>,</w:t>
      </w:r>
      <w:r w:rsidR="003B22E0" w:rsidRPr="003B22E0">
        <w:rPr>
          <w:sz w:val="24"/>
          <w:szCs w:val="24"/>
        </w:rPr>
        <w:t xml:space="preserve"> </w:t>
      </w:r>
      <w:r w:rsidR="003B22E0">
        <w:rPr>
          <w:sz w:val="24"/>
          <w:szCs w:val="24"/>
        </w:rPr>
        <w:t xml:space="preserve">à </w:t>
      </w:r>
      <w:r w:rsidR="003B22E0" w:rsidRPr="00247C2B">
        <w:rPr>
          <w:sz w:val="24"/>
          <w:szCs w:val="24"/>
        </w:rPr>
        <w:t>l</w:t>
      </w:r>
      <w:r w:rsidR="003B22E0">
        <w:rPr>
          <w:sz w:val="24"/>
          <w:szCs w:val="24"/>
        </w:rPr>
        <w:t>’</w:t>
      </w:r>
      <w:r w:rsidR="003B22E0" w:rsidRPr="00247C2B">
        <w:rPr>
          <w:sz w:val="24"/>
          <w:szCs w:val="24"/>
        </w:rPr>
        <w:t>alimenta</w:t>
      </w:r>
      <w:r w:rsidR="003B22E0">
        <w:rPr>
          <w:sz w:val="24"/>
          <w:szCs w:val="24"/>
        </w:rPr>
        <w:t>tion</w:t>
      </w:r>
      <w:r w:rsidR="003B22E0" w:rsidRPr="00247C2B">
        <w:rPr>
          <w:sz w:val="24"/>
          <w:szCs w:val="24"/>
        </w:rPr>
        <w:t xml:space="preserve"> (20.232 contre 26.069 MBIF)</w:t>
      </w:r>
      <w:r w:rsidR="003B22E0">
        <w:rPr>
          <w:sz w:val="24"/>
          <w:szCs w:val="24"/>
        </w:rPr>
        <w:t xml:space="preserve"> </w:t>
      </w:r>
      <w:r>
        <w:rPr>
          <w:sz w:val="24"/>
          <w:szCs w:val="24"/>
        </w:rPr>
        <w:t>et</w:t>
      </w:r>
      <w:r w:rsidR="003B22E0">
        <w:rPr>
          <w:sz w:val="24"/>
          <w:szCs w:val="24"/>
        </w:rPr>
        <w:t xml:space="preserve"> </w:t>
      </w:r>
      <w:r>
        <w:rPr>
          <w:sz w:val="24"/>
          <w:szCs w:val="24"/>
        </w:rPr>
        <w:t xml:space="preserve"> </w:t>
      </w:r>
      <w:r w:rsidR="003B22E0">
        <w:rPr>
          <w:sz w:val="24"/>
          <w:szCs w:val="24"/>
        </w:rPr>
        <w:t xml:space="preserve">à </w:t>
      </w:r>
      <w:r w:rsidR="003B22E0" w:rsidRPr="00247C2B">
        <w:rPr>
          <w:sz w:val="24"/>
          <w:szCs w:val="24"/>
        </w:rPr>
        <w:t>la construction (11.790 contre 16.325 MBIF)</w:t>
      </w:r>
      <w:r w:rsidR="003B22E0">
        <w:rPr>
          <w:sz w:val="24"/>
          <w:szCs w:val="24"/>
        </w:rPr>
        <w:t xml:space="preserve"> ainsi que les</w:t>
      </w:r>
      <w:r w:rsidR="003B22E0" w:rsidRPr="00247C2B">
        <w:rPr>
          <w:sz w:val="24"/>
          <w:szCs w:val="24"/>
        </w:rPr>
        <w:t xml:space="preserve"> autres biens de production (95.112 contre 112.006 MBIF)</w:t>
      </w:r>
      <w:r w:rsidR="003B22E0">
        <w:rPr>
          <w:sz w:val="24"/>
          <w:szCs w:val="24"/>
        </w:rPr>
        <w:t>.</w:t>
      </w:r>
      <w:r>
        <w:rPr>
          <w:sz w:val="24"/>
          <w:szCs w:val="24"/>
        </w:rPr>
        <w:t xml:space="preserve"> </w:t>
      </w:r>
    </w:p>
    <w:p w:rsidR="00A93179" w:rsidRDefault="00A93179" w:rsidP="00A93179">
      <w:pPr>
        <w:spacing w:after="120"/>
        <w:jc w:val="both"/>
        <w:rPr>
          <w:sz w:val="24"/>
          <w:szCs w:val="24"/>
          <w:highlight w:val="yellow"/>
        </w:rPr>
      </w:pPr>
      <w:r>
        <w:rPr>
          <w:sz w:val="24"/>
          <w:szCs w:val="24"/>
        </w:rPr>
        <w:t xml:space="preserve">La baisse de la valeur de la mise en consommation des biens de production  a concerné les produits destinés </w:t>
      </w:r>
      <w:r w:rsidRPr="00247C2B">
        <w:rPr>
          <w:sz w:val="24"/>
          <w:szCs w:val="24"/>
        </w:rPr>
        <w:t xml:space="preserve">à la métallurgie (15.900 contre 18.100 MBIF), </w:t>
      </w:r>
      <w:r>
        <w:rPr>
          <w:sz w:val="24"/>
          <w:szCs w:val="24"/>
        </w:rPr>
        <w:t xml:space="preserve">à </w:t>
      </w:r>
      <w:r w:rsidRPr="00247C2B">
        <w:rPr>
          <w:sz w:val="24"/>
          <w:szCs w:val="24"/>
        </w:rPr>
        <w:t>l’agriculture et élevag</w:t>
      </w:r>
      <w:r w:rsidR="003B22E0">
        <w:rPr>
          <w:sz w:val="24"/>
          <w:szCs w:val="24"/>
        </w:rPr>
        <w:t xml:space="preserve">e (11.151 contre 12.756 MBIF), </w:t>
      </w:r>
      <w:r w:rsidRPr="00247C2B">
        <w:rPr>
          <w:sz w:val="24"/>
          <w:szCs w:val="24"/>
        </w:rPr>
        <w:t xml:space="preserve"> </w:t>
      </w:r>
    </w:p>
    <w:p w:rsidR="00A93179" w:rsidRPr="007667DF" w:rsidRDefault="00A93179" w:rsidP="00A93179">
      <w:pPr>
        <w:spacing w:after="120"/>
        <w:jc w:val="both"/>
        <w:rPr>
          <w:sz w:val="24"/>
          <w:szCs w:val="24"/>
        </w:rPr>
      </w:pPr>
      <w:r w:rsidRPr="00DE342F">
        <w:rPr>
          <w:sz w:val="24"/>
          <w:szCs w:val="24"/>
        </w:rPr>
        <w:t>Pour sa part</w:t>
      </w:r>
      <w:r>
        <w:rPr>
          <w:sz w:val="24"/>
          <w:szCs w:val="24"/>
        </w:rPr>
        <w:t>,</w:t>
      </w:r>
      <w:r w:rsidRPr="00DE342F">
        <w:rPr>
          <w:sz w:val="24"/>
          <w:szCs w:val="24"/>
        </w:rPr>
        <w:t xml:space="preserve"> la diminution des importations de</w:t>
      </w:r>
      <w:r w:rsidRPr="007667DF">
        <w:rPr>
          <w:sz w:val="24"/>
          <w:szCs w:val="24"/>
        </w:rPr>
        <w:t xml:space="preserve"> biens d’équipement </w:t>
      </w:r>
      <w:r>
        <w:rPr>
          <w:sz w:val="24"/>
          <w:szCs w:val="24"/>
        </w:rPr>
        <w:t xml:space="preserve">a porté principalement sur </w:t>
      </w:r>
      <w:r w:rsidRPr="007667DF">
        <w:rPr>
          <w:sz w:val="24"/>
          <w:szCs w:val="24"/>
        </w:rPr>
        <w:t>les tracteurs et véhicules</w:t>
      </w:r>
      <w:r>
        <w:rPr>
          <w:sz w:val="24"/>
          <w:szCs w:val="24"/>
        </w:rPr>
        <w:t xml:space="preserve"> </w:t>
      </w:r>
      <w:r w:rsidRPr="007667DF">
        <w:rPr>
          <w:sz w:val="24"/>
          <w:szCs w:val="24"/>
        </w:rPr>
        <w:t>(17.397 contre 65.929 MBIF)</w:t>
      </w:r>
      <w:r>
        <w:rPr>
          <w:sz w:val="24"/>
          <w:szCs w:val="24"/>
        </w:rPr>
        <w:t xml:space="preserve"> ainsi que sur les </w:t>
      </w:r>
      <w:r w:rsidRPr="007667DF">
        <w:rPr>
          <w:sz w:val="24"/>
          <w:szCs w:val="24"/>
        </w:rPr>
        <w:t>engins mécaniques (21.932 contre 42.625 MBIF).</w:t>
      </w:r>
    </w:p>
    <w:p w:rsidR="00A93179" w:rsidRDefault="00A93179" w:rsidP="00A93179">
      <w:pPr>
        <w:spacing w:after="120"/>
        <w:jc w:val="both"/>
        <w:rPr>
          <w:sz w:val="24"/>
          <w:szCs w:val="24"/>
        </w:rPr>
      </w:pPr>
      <w:r>
        <w:rPr>
          <w:sz w:val="24"/>
          <w:szCs w:val="24"/>
        </w:rPr>
        <w:t xml:space="preserve">La progression du volume des importations est liée </w:t>
      </w:r>
      <w:r w:rsidR="003B22E0">
        <w:rPr>
          <w:sz w:val="24"/>
          <w:szCs w:val="24"/>
        </w:rPr>
        <w:t xml:space="preserve">essentiellement </w:t>
      </w:r>
      <w:r>
        <w:rPr>
          <w:sz w:val="24"/>
          <w:szCs w:val="24"/>
        </w:rPr>
        <w:t xml:space="preserve"> à la hausse </w:t>
      </w:r>
      <w:r w:rsidRPr="00BE295E">
        <w:rPr>
          <w:sz w:val="24"/>
          <w:szCs w:val="24"/>
        </w:rPr>
        <w:t xml:space="preserve">des biens </w:t>
      </w:r>
      <w:r>
        <w:rPr>
          <w:sz w:val="24"/>
          <w:szCs w:val="24"/>
        </w:rPr>
        <w:t>durables</w:t>
      </w:r>
      <w:r w:rsidRPr="00117545">
        <w:rPr>
          <w:sz w:val="24"/>
          <w:szCs w:val="24"/>
        </w:rPr>
        <w:t xml:space="preserve"> </w:t>
      </w:r>
      <w:r>
        <w:rPr>
          <w:sz w:val="24"/>
          <w:szCs w:val="24"/>
        </w:rPr>
        <w:t xml:space="preserve">(105.467 contre 11.504 T), notamment les textiles (71.689 contre 3.713 T), </w:t>
      </w:r>
      <w:r w:rsidR="003B22E0">
        <w:rPr>
          <w:sz w:val="24"/>
          <w:szCs w:val="24"/>
        </w:rPr>
        <w:t xml:space="preserve">les véhicules (25.922 contre 902 T), et autres biens de consommation </w:t>
      </w:r>
      <w:r w:rsidR="001737A0">
        <w:rPr>
          <w:sz w:val="24"/>
          <w:szCs w:val="24"/>
        </w:rPr>
        <w:t>durables (7.856 contre 6.890 T).</w:t>
      </w:r>
      <w:r w:rsidR="003B22E0">
        <w:rPr>
          <w:sz w:val="24"/>
          <w:szCs w:val="24"/>
        </w:rPr>
        <w:t xml:space="preserve"> </w:t>
      </w:r>
      <w:r w:rsidR="001737A0">
        <w:rPr>
          <w:sz w:val="24"/>
          <w:szCs w:val="24"/>
        </w:rPr>
        <w:t>L</w:t>
      </w:r>
      <w:r>
        <w:rPr>
          <w:sz w:val="24"/>
          <w:szCs w:val="24"/>
        </w:rPr>
        <w:t>e</w:t>
      </w:r>
      <w:r w:rsidR="001737A0">
        <w:rPr>
          <w:sz w:val="24"/>
          <w:szCs w:val="24"/>
        </w:rPr>
        <w:t xml:space="preserve"> volume des</w:t>
      </w:r>
      <w:r>
        <w:rPr>
          <w:sz w:val="24"/>
          <w:szCs w:val="24"/>
        </w:rPr>
        <w:t xml:space="preserve"> biens</w:t>
      </w:r>
      <w:r w:rsidR="001737A0">
        <w:rPr>
          <w:sz w:val="24"/>
          <w:szCs w:val="24"/>
        </w:rPr>
        <w:t xml:space="preserve"> de consommation</w:t>
      </w:r>
      <w:r>
        <w:rPr>
          <w:sz w:val="24"/>
          <w:szCs w:val="24"/>
        </w:rPr>
        <w:t xml:space="preserve"> non durables </w:t>
      </w:r>
      <w:r w:rsidR="001737A0">
        <w:rPr>
          <w:sz w:val="24"/>
          <w:szCs w:val="24"/>
        </w:rPr>
        <w:t xml:space="preserve">quant à lui </w:t>
      </w:r>
      <w:r>
        <w:rPr>
          <w:sz w:val="24"/>
          <w:szCs w:val="24"/>
        </w:rPr>
        <w:t>aya</w:t>
      </w:r>
      <w:r w:rsidR="001737A0">
        <w:rPr>
          <w:sz w:val="24"/>
          <w:szCs w:val="24"/>
        </w:rPr>
        <w:t>nt enregistré une forte baisse (</w:t>
      </w:r>
      <w:r>
        <w:rPr>
          <w:sz w:val="24"/>
          <w:szCs w:val="24"/>
        </w:rPr>
        <w:t>7.446 contre 55.353 T).</w:t>
      </w:r>
    </w:p>
    <w:p w:rsidR="00A93179" w:rsidRDefault="00A93179" w:rsidP="00A93179">
      <w:pPr>
        <w:spacing w:after="120"/>
        <w:jc w:val="both"/>
        <w:rPr>
          <w:sz w:val="24"/>
          <w:szCs w:val="24"/>
        </w:rPr>
      </w:pPr>
      <w:r>
        <w:rPr>
          <w:sz w:val="24"/>
          <w:szCs w:val="24"/>
        </w:rPr>
        <w:t>Par rapport à celles du mois précédent, les importations du mois d’avril 2014 se sont inscrites en retrait, en valeur</w:t>
      </w:r>
      <w:r w:rsidRPr="004F0CB1">
        <w:rPr>
          <w:sz w:val="24"/>
          <w:szCs w:val="24"/>
        </w:rPr>
        <w:t xml:space="preserve"> </w:t>
      </w:r>
      <w:r>
        <w:rPr>
          <w:sz w:val="24"/>
          <w:szCs w:val="24"/>
        </w:rPr>
        <w:t xml:space="preserve">et en volume, revenant respectivement de 89.076 à 81.215 MBIF et de 71.488 à 46.976 T.   </w:t>
      </w:r>
    </w:p>
    <w:p w:rsidR="00A93179" w:rsidRPr="00A84001" w:rsidRDefault="00A93179" w:rsidP="00A93179">
      <w:pPr>
        <w:pStyle w:val="Titre1"/>
        <w:spacing w:after="120"/>
        <w:rPr>
          <w:rFonts w:asciiTheme="minorHAnsi" w:hAnsiTheme="minorHAnsi"/>
          <w:color w:val="00B0F0"/>
          <w:sz w:val="24"/>
          <w:szCs w:val="24"/>
        </w:rPr>
      </w:pPr>
      <w:r w:rsidRPr="00A84001">
        <w:rPr>
          <w:rFonts w:asciiTheme="minorHAnsi" w:hAnsiTheme="minorHAnsi"/>
          <w:color w:val="00B0F0"/>
          <w:sz w:val="24"/>
          <w:szCs w:val="24"/>
        </w:rPr>
        <w:t>VII.TAUX DE CHANGE</w:t>
      </w:r>
      <w:bookmarkEnd w:id="20"/>
    </w:p>
    <w:p w:rsidR="00A93179" w:rsidRPr="002378CC" w:rsidRDefault="00A93179" w:rsidP="00A93179">
      <w:pPr>
        <w:spacing w:after="120"/>
        <w:jc w:val="both"/>
        <w:rPr>
          <w:rFonts w:ascii="Calibri" w:eastAsia="Times New Roman" w:hAnsi="Calibri" w:cs="Times New Roman"/>
          <w:color w:val="000000"/>
          <w:sz w:val="24"/>
          <w:szCs w:val="24"/>
          <w:lang w:eastAsia="fr-FR"/>
        </w:rPr>
      </w:pPr>
      <w:r w:rsidRPr="002378CC">
        <w:rPr>
          <w:sz w:val="24"/>
          <w:szCs w:val="24"/>
        </w:rPr>
        <w:t xml:space="preserve">Le taux de change </w:t>
      </w:r>
      <w:r>
        <w:rPr>
          <w:sz w:val="24"/>
          <w:szCs w:val="24"/>
        </w:rPr>
        <w:t xml:space="preserve">moyen du </w:t>
      </w:r>
      <w:r w:rsidR="001737A0">
        <w:rPr>
          <w:sz w:val="24"/>
          <w:szCs w:val="24"/>
        </w:rPr>
        <w:t xml:space="preserve">BIF au </w:t>
      </w:r>
      <w:r>
        <w:rPr>
          <w:sz w:val="24"/>
          <w:szCs w:val="24"/>
        </w:rPr>
        <w:t xml:space="preserve"> mois d’avril 2014 s’est établi à 1.544,85</w:t>
      </w:r>
      <w:r w:rsidRPr="002378CC">
        <w:rPr>
          <w:sz w:val="24"/>
          <w:szCs w:val="24"/>
        </w:rPr>
        <w:t xml:space="preserve"> BIF </w:t>
      </w:r>
      <w:r w:rsidRPr="002378CC">
        <w:rPr>
          <w:sz w:val="24"/>
          <w:szCs w:val="24"/>
        </w:rPr>
        <w:lastRenderedPageBreak/>
        <w:t xml:space="preserve">pour un </w:t>
      </w:r>
      <w:r>
        <w:rPr>
          <w:sz w:val="24"/>
          <w:szCs w:val="24"/>
        </w:rPr>
        <w:t>d</w:t>
      </w:r>
      <w:r w:rsidRPr="002378CC">
        <w:rPr>
          <w:sz w:val="24"/>
          <w:szCs w:val="24"/>
        </w:rPr>
        <w:t xml:space="preserve">ollar américain contre </w:t>
      </w:r>
      <w:r>
        <w:rPr>
          <w:sz w:val="24"/>
          <w:szCs w:val="24"/>
        </w:rPr>
        <w:t xml:space="preserve">1.563,65 </w:t>
      </w:r>
      <w:r w:rsidRPr="002378CC">
        <w:rPr>
          <w:sz w:val="24"/>
          <w:szCs w:val="24"/>
        </w:rPr>
        <w:t xml:space="preserve">BIF au mois correspondant de l’année précédente, soit une appréciation de </w:t>
      </w:r>
      <w:r>
        <w:rPr>
          <w:rFonts w:ascii="Calibri" w:eastAsia="Times New Roman" w:hAnsi="Calibri" w:cs="Times New Roman"/>
          <w:color w:val="000000"/>
          <w:sz w:val="24"/>
          <w:szCs w:val="24"/>
          <w:lang w:eastAsia="fr-FR"/>
        </w:rPr>
        <w:t>1,2</w:t>
      </w:r>
      <w:r w:rsidRPr="002378CC">
        <w:rPr>
          <w:rFonts w:ascii="Calibri" w:eastAsia="Times New Roman" w:hAnsi="Calibri" w:cs="Times New Roman"/>
          <w:color w:val="000000"/>
          <w:sz w:val="24"/>
          <w:szCs w:val="24"/>
          <w:lang w:eastAsia="fr-FR"/>
        </w:rPr>
        <w:t xml:space="preserve"> </w:t>
      </w:r>
      <w:r w:rsidRPr="002378CC">
        <w:rPr>
          <w:sz w:val="24"/>
          <w:szCs w:val="24"/>
        </w:rPr>
        <w:t>p.c.</w:t>
      </w:r>
    </w:p>
    <w:p w:rsidR="001737A0" w:rsidRDefault="00A93179" w:rsidP="00A93179">
      <w:pPr>
        <w:spacing w:after="120"/>
        <w:jc w:val="both"/>
        <w:rPr>
          <w:sz w:val="24"/>
          <w:szCs w:val="24"/>
        </w:rPr>
      </w:pPr>
      <w:r w:rsidRPr="002378CC">
        <w:rPr>
          <w:sz w:val="24"/>
          <w:szCs w:val="24"/>
        </w:rPr>
        <w:t>En comp</w:t>
      </w:r>
      <w:r>
        <w:rPr>
          <w:sz w:val="24"/>
          <w:szCs w:val="24"/>
        </w:rPr>
        <w:t>araison avec celui du mois précédent</w:t>
      </w:r>
      <w:r w:rsidRPr="002378CC">
        <w:rPr>
          <w:sz w:val="24"/>
          <w:szCs w:val="24"/>
        </w:rPr>
        <w:t>, le taux de change</w:t>
      </w:r>
      <w:r>
        <w:rPr>
          <w:sz w:val="24"/>
          <w:szCs w:val="24"/>
        </w:rPr>
        <w:t xml:space="preserve"> moyen</w:t>
      </w:r>
      <w:r w:rsidRPr="002378CC">
        <w:rPr>
          <w:sz w:val="24"/>
          <w:szCs w:val="24"/>
        </w:rPr>
        <w:t xml:space="preserve"> </w:t>
      </w:r>
      <w:r w:rsidR="00F8452D">
        <w:rPr>
          <w:sz w:val="24"/>
          <w:szCs w:val="24"/>
        </w:rPr>
        <w:t xml:space="preserve">du BIF </w:t>
      </w:r>
      <w:r w:rsidR="001737A0">
        <w:rPr>
          <w:sz w:val="24"/>
          <w:szCs w:val="24"/>
        </w:rPr>
        <w:t xml:space="preserve">s’est fixé à 1.544,85 contre 1544,34 BIF pour un dollar américain, traduisant une dépréciation de 0,03 p.c. </w:t>
      </w:r>
    </w:p>
    <w:p w:rsidR="00A93179" w:rsidRPr="0033634C" w:rsidRDefault="001737A0" w:rsidP="0033634C">
      <w:pPr>
        <w:spacing w:after="120"/>
        <w:jc w:val="both"/>
        <w:rPr>
          <w:rFonts w:ascii="Calibri" w:eastAsia="Times New Roman" w:hAnsi="Calibri" w:cs="Times New Roman"/>
          <w:color w:val="000000"/>
          <w:sz w:val="24"/>
          <w:szCs w:val="24"/>
          <w:lang w:eastAsia="fr-FR"/>
        </w:rPr>
      </w:pPr>
      <w:r>
        <w:rPr>
          <w:sz w:val="24"/>
          <w:szCs w:val="24"/>
        </w:rPr>
        <w:t xml:space="preserve">En fin de </w:t>
      </w:r>
      <w:r w:rsidR="0033634C">
        <w:rPr>
          <w:sz w:val="24"/>
          <w:szCs w:val="24"/>
        </w:rPr>
        <w:t>période</w:t>
      </w:r>
      <w:r>
        <w:rPr>
          <w:sz w:val="24"/>
          <w:szCs w:val="24"/>
        </w:rPr>
        <w:t>,</w:t>
      </w:r>
      <w:r w:rsidR="0033634C">
        <w:rPr>
          <w:sz w:val="24"/>
          <w:szCs w:val="24"/>
        </w:rPr>
        <w:t xml:space="preserve"> </w:t>
      </w:r>
      <w:r>
        <w:rPr>
          <w:sz w:val="24"/>
          <w:szCs w:val="24"/>
        </w:rPr>
        <w:t xml:space="preserve">le franc </w:t>
      </w:r>
      <w:r w:rsidR="0033634C">
        <w:rPr>
          <w:sz w:val="24"/>
          <w:szCs w:val="24"/>
        </w:rPr>
        <w:t>Burundi</w:t>
      </w:r>
      <w:r>
        <w:rPr>
          <w:sz w:val="24"/>
          <w:szCs w:val="24"/>
        </w:rPr>
        <w:t xml:space="preserve"> s’est apprécié de 0,5 p.c. </w:t>
      </w:r>
      <w:r w:rsidR="00A93179">
        <w:rPr>
          <w:sz w:val="24"/>
          <w:szCs w:val="24"/>
        </w:rPr>
        <w:t xml:space="preserve">par rapport </w:t>
      </w:r>
      <w:r>
        <w:rPr>
          <w:sz w:val="24"/>
          <w:szCs w:val="24"/>
        </w:rPr>
        <w:t xml:space="preserve">à la devise </w:t>
      </w:r>
      <w:r w:rsidR="0033634C">
        <w:rPr>
          <w:sz w:val="24"/>
          <w:szCs w:val="24"/>
        </w:rPr>
        <w:t>américaine</w:t>
      </w:r>
      <w:r>
        <w:rPr>
          <w:sz w:val="24"/>
          <w:szCs w:val="24"/>
        </w:rPr>
        <w:t>,</w:t>
      </w:r>
      <w:r w:rsidR="0033634C">
        <w:rPr>
          <w:sz w:val="24"/>
          <w:szCs w:val="24"/>
        </w:rPr>
        <w:t xml:space="preserve"> </w:t>
      </w:r>
      <w:r>
        <w:rPr>
          <w:sz w:val="24"/>
          <w:szCs w:val="24"/>
        </w:rPr>
        <w:t xml:space="preserve">se fixant à  1.545,08 </w:t>
      </w:r>
      <w:r w:rsidR="00A93179" w:rsidRPr="002378CC">
        <w:rPr>
          <w:sz w:val="24"/>
          <w:szCs w:val="24"/>
        </w:rPr>
        <w:t xml:space="preserve"> </w:t>
      </w:r>
      <w:r w:rsidR="00A93179">
        <w:rPr>
          <w:sz w:val="24"/>
          <w:szCs w:val="24"/>
        </w:rPr>
        <w:t>contre 1.</w:t>
      </w:r>
      <w:r>
        <w:rPr>
          <w:sz w:val="24"/>
          <w:szCs w:val="24"/>
        </w:rPr>
        <w:t xml:space="preserve">553,61 BIF </w:t>
      </w:r>
      <w:r w:rsidR="0033634C">
        <w:rPr>
          <w:sz w:val="24"/>
          <w:szCs w:val="24"/>
        </w:rPr>
        <w:t>à</w:t>
      </w:r>
      <w:r>
        <w:rPr>
          <w:sz w:val="24"/>
          <w:szCs w:val="24"/>
        </w:rPr>
        <w:t xml:space="preserve"> fin avril 2013</w:t>
      </w:r>
      <w:r w:rsidR="00A93179" w:rsidRPr="002378CC">
        <w:rPr>
          <w:sz w:val="24"/>
          <w:szCs w:val="24"/>
        </w:rPr>
        <w:t>.</w:t>
      </w:r>
      <w:r w:rsidR="0033634C">
        <w:rPr>
          <w:sz w:val="24"/>
          <w:szCs w:val="24"/>
        </w:rPr>
        <w:t>Par rapport au mois précédent, le franc du Burundi s’est légèrement déprécié s’établissant à 1.545,08 contre 1.544,56 BIF pour un dollar.</w:t>
      </w:r>
    </w:p>
    <w:p w:rsidR="0033634C" w:rsidRDefault="0033634C" w:rsidP="00A93179">
      <w:pPr>
        <w:jc w:val="both"/>
        <w:rPr>
          <w:sz w:val="24"/>
          <w:szCs w:val="24"/>
        </w:rPr>
        <w:sectPr w:rsidR="0033634C" w:rsidSect="00C6025D">
          <w:footerReference w:type="default" r:id="rId14"/>
          <w:footerReference w:type="first" r:id="rId15"/>
          <w:pgSz w:w="11906" w:h="16838"/>
          <w:pgMar w:top="1417" w:right="1417" w:bottom="1417" w:left="1417" w:header="708" w:footer="708" w:gutter="0"/>
          <w:pgNumType w:start="1"/>
          <w:cols w:num="2" w:space="708"/>
          <w:titlePg/>
          <w:docGrid w:linePitch="360"/>
        </w:sectPr>
      </w:pPr>
    </w:p>
    <w:p w:rsidR="00DF08EE" w:rsidRDefault="00026EC7" w:rsidP="00EA4FB5">
      <w:pPr>
        <w:pStyle w:val="Titre1"/>
        <w:spacing w:after="240"/>
        <w:rPr>
          <w:rFonts w:asciiTheme="minorHAnsi" w:hAnsiTheme="minorHAnsi"/>
          <w:color w:val="00B0F0"/>
          <w:sz w:val="24"/>
          <w:szCs w:val="24"/>
        </w:rPr>
      </w:pPr>
      <w:bookmarkStart w:id="21" w:name="_Toc391300310"/>
      <w:r w:rsidRPr="00A14EA3">
        <w:rPr>
          <w:rFonts w:asciiTheme="minorHAnsi" w:hAnsiTheme="minorHAnsi"/>
          <w:color w:val="00B0F0"/>
          <w:sz w:val="24"/>
          <w:szCs w:val="24"/>
        </w:rPr>
        <w:lastRenderedPageBreak/>
        <w:t>ANNEXE 1 : PRINCIPAUX INDICATEURS MENSUELS</w:t>
      </w:r>
      <w:bookmarkEnd w:id="21"/>
    </w:p>
    <w:p w:rsidR="00026EC7" w:rsidRDefault="00A93179" w:rsidP="004F0CB1">
      <w:pPr>
        <w:jc w:val="both"/>
        <w:rPr>
          <w:b/>
          <w:color w:val="00B0F0"/>
          <w:sz w:val="24"/>
          <w:szCs w:val="24"/>
        </w:rPr>
      </w:pPr>
      <w:r w:rsidRPr="008E653C">
        <w:rPr>
          <w:b/>
          <w:color w:val="00B0F0"/>
          <w:sz w:val="24"/>
          <w:szCs w:val="24"/>
        </w:rPr>
        <w:object w:dxaOrig="14467" w:dyaOrig="16231">
          <v:shape id="_x0000_i1027" type="#_x0000_t75" style="width:477pt;height:624pt" o:ole="">
            <v:imagedata r:id="rId16" o:title=""/>
          </v:shape>
          <o:OLEObject Type="Embed" ProgID="Excel.Sheet.8" ShapeID="_x0000_i1027" DrawAspect="Content" ObjectID="_1467091175" r:id="rId17"/>
        </w:object>
      </w:r>
    </w:p>
    <w:p w:rsidR="00026EC7" w:rsidRDefault="00026EC7" w:rsidP="00A84001">
      <w:pPr>
        <w:pStyle w:val="Titre1"/>
        <w:rPr>
          <w:rFonts w:asciiTheme="minorHAnsi" w:hAnsiTheme="minorHAnsi"/>
          <w:color w:val="00B0F0"/>
          <w:sz w:val="24"/>
          <w:szCs w:val="24"/>
        </w:rPr>
      </w:pPr>
      <w:bookmarkStart w:id="22" w:name="_Toc391300311"/>
      <w:r w:rsidRPr="00A14EA3">
        <w:rPr>
          <w:rFonts w:asciiTheme="minorHAnsi" w:hAnsiTheme="minorHAnsi"/>
          <w:color w:val="00B0F0"/>
          <w:sz w:val="24"/>
          <w:szCs w:val="24"/>
        </w:rPr>
        <w:lastRenderedPageBreak/>
        <w:t>ANNEXE 2 : PRINCIPAUX INDICATEURS ANNUELS</w:t>
      </w:r>
      <w:bookmarkEnd w:id="22"/>
    </w:p>
    <w:p w:rsidR="00026EC7" w:rsidRPr="00026EC7" w:rsidRDefault="006F61A3" w:rsidP="00E466B8">
      <w:pPr>
        <w:rPr>
          <w:b/>
          <w:color w:val="00B0F0"/>
          <w:sz w:val="24"/>
          <w:szCs w:val="24"/>
        </w:rPr>
      </w:pPr>
      <w:r>
        <w:object w:dxaOrig="13230" w:dyaOrig="14985">
          <v:shape id="_x0000_i1028" type="#_x0000_t75" style="width:475.5pt;height:644.25pt" o:ole="">
            <v:imagedata r:id="rId18" o:title=""/>
          </v:shape>
          <o:OLEObject Type="Link" ProgID="Excel.Sheet.8" ShapeID="_x0000_i1028" DrawAspect="Content" r:id="rId19" UpdateMode="Always">
            <o:LinkType>EnhancedMetaFile</o:LinkType>
            <o:LockedField>false</o:LockedField>
          </o:OLEObject>
        </w:object>
      </w:r>
    </w:p>
    <w:sectPr w:rsidR="00026EC7" w:rsidRPr="00026EC7" w:rsidSect="00026EC7">
      <w:footerReference w:type="defaul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4B8" w:rsidRDefault="000D14B8" w:rsidP="00C6025D">
      <w:pPr>
        <w:spacing w:after="0" w:line="240" w:lineRule="auto"/>
      </w:pPr>
      <w:r>
        <w:separator/>
      </w:r>
    </w:p>
  </w:endnote>
  <w:endnote w:type="continuationSeparator" w:id="0">
    <w:p w:rsidR="000D14B8" w:rsidRDefault="000D14B8" w:rsidP="00C602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408" w:rsidRDefault="003F1408">
    <w:pPr>
      <w:rPr>
        <w:rFonts w:ascii="Arial Narrow" w:hAnsi="Arial Narrow" w:cs="Arial Narrow"/>
        <w:b/>
        <w:bCs/>
        <w:color w:val="000000"/>
      </w:rPr>
    </w:pPr>
    <w:r>
      <w:rPr>
        <w:rFonts w:ascii="Tahoma" w:hAnsi="Tahoma" w:cs="Tahoma"/>
        <w:b/>
        <w:bCs/>
        <w:color w:val="000000"/>
      </w:rPr>
      <w:t>B</w:t>
    </w:r>
    <w:r>
      <w:rPr>
        <w:rFonts w:ascii="Arial Narrow" w:hAnsi="Arial Narrow" w:cs="Arial Narrow"/>
        <w:b/>
        <w:bCs/>
        <w:color w:val="000000"/>
      </w:rPr>
      <w:t>.P. 705 BUJUMBURA   Tél: (257) 225142 -Télex : 5071, 5072 - Fax : (257) 223128 - E-mail </w:t>
    </w:r>
    <w:r>
      <w:rPr>
        <w:rFonts w:ascii="Arial Narrow" w:hAnsi="Arial Narrow" w:cs="Arial Narrow"/>
        <w:color w:val="000000"/>
      </w:rPr>
      <w:t xml:space="preserve">: </w:t>
    </w:r>
    <w:r>
      <w:rPr>
        <w:rFonts w:ascii="Arial Narrow" w:hAnsi="Arial Narrow" w:cs="Arial Narrow"/>
        <w:b/>
        <w:bCs/>
        <w:color w:val="000000"/>
      </w:rPr>
      <w:t>brb@brb.bi</w:t>
    </w:r>
  </w:p>
  <w:p w:rsidR="003F1408" w:rsidRDefault="003F1408">
    <w:pPr>
      <w:rPr>
        <w:rFonts w:ascii="Arial Narrow" w:hAnsi="Arial Narrow" w:cs="Arial Narrow"/>
        <w:b/>
        <w:bCs/>
      </w:rPr>
    </w:pPr>
  </w:p>
  <w:p w:rsidR="003F1408" w:rsidRDefault="003F140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408" w:rsidRPr="001F0DD7" w:rsidRDefault="003F1408" w:rsidP="003F1408">
    <w:pPr>
      <w:rPr>
        <w:rFonts w:ascii="Arial Narrow" w:hAnsi="Arial Narrow" w:cs="Arial Narrow"/>
        <w:b/>
        <w:bCs/>
        <w:color w:val="000000"/>
        <w:sz w:val="18"/>
        <w:szCs w:val="16"/>
      </w:rPr>
    </w:pPr>
    <w:r w:rsidRPr="001F0DD7">
      <w:rPr>
        <w:rFonts w:ascii="Tahoma" w:hAnsi="Tahoma" w:cs="Tahoma"/>
        <w:b/>
        <w:bCs/>
        <w:color w:val="000000"/>
        <w:sz w:val="18"/>
        <w:szCs w:val="16"/>
      </w:rPr>
      <w:t xml:space="preserve">     B</w:t>
    </w:r>
    <w:r w:rsidRPr="001F0DD7">
      <w:rPr>
        <w:rFonts w:ascii="Arial Narrow" w:hAnsi="Arial Narrow" w:cs="Arial Narrow"/>
        <w:b/>
        <w:bCs/>
        <w:color w:val="000000"/>
        <w:sz w:val="18"/>
        <w:szCs w:val="16"/>
      </w:rPr>
      <w:t xml:space="preserve">.P. 705 BUJUMBURA   Tél: (257) 22 20 40 00  Fax : (257) 22 </w:t>
    </w:r>
    <w:proofErr w:type="spellStart"/>
    <w:r w:rsidRPr="001F0DD7">
      <w:rPr>
        <w:rFonts w:ascii="Arial Narrow" w:hAnsi="Arial Narrow" w:cs="Arial Narrow"/>
        <w:b/>
        <w:bCs/>
        <w:color w:val="000000"/>
        <w:sz w:val="18"/>
        <w:szCs w:val="16"/>
      </w:rPr>
      <w:t>22</w:t>
    </w:r>
    <w:proofErr w:type="spellEnd"/>
    <w:r w:rsidRPr="001F0DD7">
      <w:rPr>
        <w:rFonts w:ascii="Arial Narrow" w:hAnsi="Arial Narrow" w:cs="Arial Narrow"/>
        <w:b/>
        <w:bCs/>
        <w:color w:val="000000"/>
        <w:sz w:val="18"/>
        <w:szCs w:val="16"/>
      </w:rPr>
      <w:t xml:space="preserve"> 31 28 - E-mail </w:t>
    </w:r>
    <w:r w:rsidRPr="001F0DD7">
      <w:rPr>
        <w:rFonts w:ascii="Arial Narrow" w:hAnsi="Arial Narrow" w:cs="Arial Narrow"/>
        <w:color w:val="000000"/>
        <w:sz w:val="18"/>
        <w:szCs w:val="16"/>
      </w:rPr>
      <w:t xml:space="preserve">: </w:t>
    </w:r>
    <w:hyperlink r:id="rId1" w:history="1">
      <w:r w:rsidRPr="001F0DD7">
        <w:rPr>
          <w:rStyle w:val="Lienhypertexte"/>
          <w:rFonts w:ascii="Arial Narrow" w:hAnsi="Arial Narrow" w:cs="Arial Narrow"/>
          <w:b/>
          <w:bCs/>
          <w:sz w:val="18"/>
          <w:szCs w:val="16"/>
        </w:rPr>
        <w:t>brb@brb.bi</w:t>
      </w:r>
    </w:hyperlink>
    <w:r w:rsidRPr="001F0DD7">
      <w:rPr>
        <w:rFonts w:ascii="Arial Narrow" w:hAnsi="Arial Narrow" w:cs="Arial Narrow"/>
        <w:b/>
        <w:bCs/>
        <w:color w:val="000000"/>
        <w:sz w:val="18"/>
        <w:szCs w:val="16"/>
      </w:rPr>
      <w:t xml:space="preserve">    - Site Web : </w:t>
    </w:r>
    <w:r w:rsidRPr="001F0DD7">
      <w:rPr>
        <w:rFonts w:ascii="Arial Narrow" w:hAnsi="Arial Narrow" w:cs="Arial Narrow"/>
        <w:b/>
        <w:bCs/>
        <w:color w:val="0000FF"/>
        <w:sz w:val="18"/>
        <w:szCs w:val="16"/>
      </w:rPr>
      <w:t>www.brb.bi</w:t>
    </w:r>
  </w:p>
  <w:p w:rsidR="003F1408" w:rsidRPr="001F0DD7" w:rsidRDefault="003F1408">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408" w:rsidRDefault="003F1408">
    <w:pPr>
      <w:pStyle w:val="Pieddepage"/>
      <w:jc w:val="center"/>
    </w:pPr>
  </w:p>
  <w:p w:rsidR="003F1408" w:rsidRDefault="003F1408">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06191"/>
      <w:docPartObj>
        <w:docPartGallery w:val="Page Numbers (Bottom of Page)"/>
        <w:docPartUnique/>
      </w:docPartObj>
    </w:sdtPr>
    <w:sdtContent>
      <w:p w:rsidR="003F1408" w:rsidRDefault="00BD6151">
        <w:pPr>
          <w:pStyle w:val="Pieddepage"/>
          <w:jc w:val="center"/>
        </w:pPr>
        <w:fldSimple w:instr=" PAGE   \* MERGEFORMAT ">
          <w:r w:rsidR="003F1408">
            <w:rPr>
              <w:noProof/>
            </w:rPr>
            <w:t>2</w:t>
          </w:r>
        </w:fldSimple>
      </w:p>
    </w:sdtContent>
  </w:sdt>
  <w:p w:rsidR="003F1408" w:rsidRDefault="003F1408">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86602"/>
      <w:docPartObj>
        <w:docPartGallery w:val="Page Numbers (Bottom of Page)"/>
        <w:docPartUnique/>
      </w:docPartObj>
    </w:sdtPr>
    <w:sdtContent>
      <w:p w:rsidR="003F1408" w:rsidRDefault="00BD6151">
        <w:pPr>
          <w:pStyle w:val="Pieddepage"/>
          <w:jc w:val="center"/>
        </w:pPr>
        <w:fldSimple w:instr=" PAGE   \* MERGEFORMAT ">
          <w:r w:rsidR="006F61A3">
            <w:rPr>
              <w:noProof/>
            </w:rPr>
            <w:t>5</w:t>
          </w:r>
        </w:fldSimple>
      </w:p>
    </w:sdtContent>
  </w:sdt>
  <w:p w:rsidR="003F1408" w:rsidRDefault="003F1408">
    <w:pPr>
      <w:pStyle w:val="Pieddepag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86603"/>
      <w:docPartObj>
        <w:docPartGallery w:val="Page Numbers (Bottom of Page)"/>
        <w:docPartUnique/>
      </w:docPartObj>
    </w:sdtPr>
    <w:sdtContent>
      <w:p w:rsidR="003F1408" w:rsidRDefault="00BD6151">
        <w:pPr>
          <w:pStyle w:val="Pieddepage"/>
          <w:jc w:val="center"/>
        </w:pPr>
        <w:fldSimple w:instr=" PAGE   \* MERGEFORMAT ">
          <w:r w:rsidR="006F61A3">
            <w:rPr>
              <w:noProof/>
            </w:rPr>
            <w:t>1</w:t>
          </w:r>
        </w:fldSimple>
      </w:p>
    </w:sdtContent>
  </w:sdt>
  <w:p w:rsidR="003F1408" w:rsidRDefault="003F1408">
    <w:pPr>
      <w:pStyle w:val="Pieddepage"/>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06192"/>
      <w:docPartObj>
        <w:docPartGallery w:val="Page Numbers (Bottom of Page)"/>
        <w:docPartUnique/>
      </w:docPartObj>
    </w:sdtPr>
    <w:sdtContent>
      <w:p w:rsidR="003F1408" w:rsidRDefault="00BD6151">
        <w:pPr>
          <w:pStyle w:val="Pieddepage"/>
          <w:jc w:val="center"/>
        </w:pPr>
        <w:fldSimple w:instr=" PAGE   \* MERGEFORMAT ">
          <w:r w:rsidR="006F61A3">
            <w:rPr>
              <w:noProof/>
            </w:rPr>
            <w:t>6</w:t>
          </w:r>
        </w:fldSimple>
      </w:p>
    </w:sdtContent>
  </w:sdt>
  <w:p w:rsidR="003F1408" w:rsidRDefault="003F1408">
    <w:pPr>
      <w:pStyle w:val="Pieddepage"/>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06193"/>
      <w:docPartObj>
        <w:docPartGallery w:val="Page Numbers (Bottom of Page)"/>
        <w:docPartUnique/>
      </w:docPartObj>
    </w:sdtPr>
    <w:sdtContent>
      <w:p w:rsidR="003F1408" w:rsidRDefault="00BD6151">
        <w:pPr>
          <w:pStyle w:val="Pieddepage"/>
          <w:jc w:val="center"/>
        </w:pPr>
        <w:fldSimple w:instr=" PAGE   \* MERGEFORMAT ">
          <w:r w:rsidR="003F1408">
            <w:rPr>
              <w:noProof/>
            </w:rPr>
            <w:t>1</w:t>
          </w:r>
        </w:fldSimple>
      </w:p>
    </w:sdtContent>
  </w:sdt>
  <w:p w:rsidR="003F1408" w:rsidRDefault="003F140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4B8" w:rsidRDefault="000D14B8" w:rsidP="00C6025D">
      <w:pPr>
        <w:spacing w:after="0" w:line="240" w:lineRule="auto"/>
      </w:pPr>
      <w:r>
        <w:separator/>
      </w:r>
    </w:p>
  </w:footnote>
  <w:footnote w:type="continuationSeparator" w:id="0">
    <w:p w:rsidR="000D14B8" w:rsidRDefault="000D14B8" w:rsidP="00C6025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11A9B"/>
    <w:rsid w:val="00026EC7"/>
    <w:rsid w:val="00046C1E"/>
    <w:rsid w:val="00062E42"/>
    <w:rsid w:val="000648B7"/>
    <w:rsid w:val="00073A7D"/>
    <w:rsid w:val="00074CCE"/>
    <w:rsid w:val="000C2078"/>
    <w:rsid w:val="000C2885"/>
    <w:rsid w:val="000D14B8"/>
    <w:rsid w:val="000F742A"/>
    <w:rsid w:val="001737A0"/>
    <w:rsid w:val="00203634"/>
    <w:rsid w:val="00233CE1"/>
    <w:rsid w:val="002378AA"/>
    <w:rsid w:val="00261A0A"/>
    <w:rsid w:val="002626CE"/>
    <w:rsid w:val="002C471B"/>
    <w:rsid w:val="002F41F7"/>
    <w:rsid w:val="00306E22"/>
    <w:rsid w:val="00307DF9"/>
    <w:rsid w:val="0033634C"/>
    <w:rsid w:val="0034007A"/>
    <w:rsid w:val="00377FFA"/>
    <w:rsid w:val="00381EE8"/>
    <w:rsid w:val="0039198D"/>
    <w:rsid w:val="003B22E0"/>
    <w:rsid w:val="003B3AAF"/>
    <w:rsid w:val="003F1408"/>
    <w:rsid w:val="00411A9B"/>
    <w:rsid w:val="0041555A"/>
    <w:rsid w:val="004157CE"/>
    <w:rsid w:val="004373A6"/>
    <w:rsid w:val="00461BFD"/>
    <w:rsid w:val="00475217"/>
    <w:rsid w:val="004D2341"/>
    <w:rsid w:val="004E0581"/>
    <w:rsid w:val="004F0CB1"/>
    <w:rsid w:val="00592C32"/>
    <w:rsid w:val="005C4FF4"/>
    <w:rsid w:val="005F3CA2"/>
    <w:rsid w:val="00636E06"/>
    <w:rsid w:val="00656F09"/>
    <w:rsid w:val="00670AC1"/>
    <w:rsid w:val="006C3879"/>
    <w:rsid w:val="006D6BDE"/>
    <w:rsid w:val="006E01CC"/>
    <w:rsid w:val="006E2C6E"/>
    <w:rsid w:val="006F61A3"/>
    <w:rsid w:val="00731827"/>
    <w:rsid w:val="007667DF"/>
    <w:rsid w:val="007814D9"/>
    <w:rsid w:val="007A584A"/>
    <w:rsid w:val="007C7744"/>
    <w:rsid w:val="007D4835"/>
    <w:rsid w:val="007F1DB6"/>
    <w:rsid w:val="007F4E2A"/>
    <w:rsid w:val="008379EB"/>
    <w:rsid w:val="00871302"/>
    <w:rsid w:val="00883D3F"/>
    <w:rsid w:val="00883DD9"/>
    <w:rsid w:val="008A09F3"/>
    <w:rsid w:val="008A11BE"/>
    <w:rsid w:val="008D5920"/>
    <w:rsid w:val="008E0A3C"/>
    <w:rsid w:val="008E653C"/>
    <w:rsid w:val="00932958"/>
    <w:rsid w:val="00933213"/>
    <w:rsid w:val="00940E48"/>
    <w:rsid w:val="009437DD"/>
    <w:rsid w:val="0095663A"/>
    <w:rsid w:val="0098271F"/>
    <w:rsid w:val="00995A4C"/>
    <w:rsid w:val="009C76DB"/>
    <w:rsid w:val="009F54AA"/>
    <w:rsid w:val="00A14EA3"/>
    <w:rsid w:val="00A779DF"/>
    <w:rsid w:val="00A833DA"/>
    <w:rsid w:val="00A84001"/>
    <w:rsid w:val="00A93179"/>
    <w:rsid w:val="00AA0163"/>
    <w:rsid w:val="00AD5F78"/>
    <w:rsid w:val="00AF393A"/>
    <w:rsid w:val="00B13F18"/>
    <w:rsid w:val="00B21CF5"/>
    <w:rsid w:val="00B91494"/>
    <w:rsid w:val="00B91779"/>
    <w:rsid w:val="00B95B7A"/>
    <w:rsid w:val="00BA414F"/>
    <w:rsid w:val="00BC19D0"/>
    <w:rsid w:val="00BD0DDB"/>
    <w:rsid w:val="00BD4A34"/>
    <w:rsid w:val="00BD6151"/>
    <w:rsid w:val="00C000EC"/>
    <w:rsid w:val="00C04A88"/>
    <w:rsid w:val="00C208E9"/>
    <w:rsid w:val="00C212F6"/>
    <w:rsid w:val="00C379A7"/>
    <w:rsid w:val="00C5596E"/>
    <w:rsid w:val="00C6025D"/>
    <w:rsid w:val="00CC2F20"/>
    <w:rsid w:val="00CE569E"/>
    <w:rsid w:val="00D0436B"/>
    <w:rsid w:val="00D10031"/>
    <w:rsid w:val="00D22C2D"/>
    <w:rsid w:val="00D26B8C"/>
    <w:rsid w:val="00D43781"/>
    <w:rsid w:val="00D4663F"/>
    <w:rsid w:val="00D76A21"/>
    <w:rsid w:val="00D919D2"/>
    <w:rsid w:val="00DA07AA"/>
    <w:rsid w:val="00DA2D72"/>
    <w:rsid w:val="00DC0D48"/>
    <w:rsid w:val="00DF08EE"/>
    <w:rsid w:val="00E466B8"/>
    <w:rsid w:val="00E91103"/>
    <w:rsid w:val="00E96C48"/>
    <w:rsid w:val="00EA4FB5"/>
    <w:rsid w:val="00EF05FD"/>
    <w:rsid w:val="00F04F53"/>
    <w:rsid w:val="00F15DA4"/>
    <w:rsid w:val="00F52A4E"/>
    <w:rsid w:val="00F8452D"/>
    <w:rsid w:val="00FB577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9EB"/>
  </w:style>
  <w:style w:type="paragraph" w:styleId="Titre1">
    <w:name w:val="heading 1"/>
    <w:basedOn w:val="Normal"/>
    <w:next w:val="Normal"/>
    <w:link w:val="Titre1Car"/>
    <w:uiPriority w:val="9"/>
    <w:qFormat/>
    <w:rsid w:val="00A840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840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A840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0C2885"/>
    <w:pPr>
      <w:widowControl w:val="0"/>
      <w:autoSpaceDE w:val="0"/>
      <w:autoSpaceDN w:val="0"/>
      <w:adjustRightInd w:val="0"/>
      <w:spacing w:after="0" w:line="240" w:lineRule="auto"/>
      <w:ind w:firstLine="720"/>
      <w:jc w:val="both"/>
    </w:pPr>
    <w:rPr>
      <w:rFonts w:ascii="Calibri" w:eastAsia="Times New Roman" w:hAnsi="Calibri" w:cs="Calibri"/>
      <w:sz w:val="28"/>
      <w:szCs w:val="24"/>
      <w:lang w:eastAsia="fr-FR"/>
    </w:rPr>
  </w:style>
  <w:style w:type="character" w:customStyle="1" w:styleId="RetraitcorpsdetexteCar">
    <w:name w:val="Retrait corps de texte Car"/>
    <w:basedOn w:val="Policepardfaut"/>
    <w:link w:val="Retraitcorpsdetexte"/>
    <w:rsid w:val="000C2885"/>
    <w:rPr>
      <w:rFonts w:ascii="Calibri" w:eastAsia="Times New Roman" w:hAnsi="Calibri" w:cs="Calibri"/>
      <w:sz w:val="28"/>
      <w:szCs w:val="24"/>
      <w:lang w:eastAsia="fr-FR"/>
    </w:rPr>
  </w:style>
  <w:style w:type="paragraph" w:styleId="Retraitcorpsdetexte3">
    <w:name w:val="Body Text Indent 3"/>
    <w:basedOn w:val="Normal"/>
    <w:link w:val="Retraitcorpsdetexte3Car"/>
    <w:rsid w:val="000C2885"/>
    <w:pPr>
      <w:widowControl w:val="0"/>
      <w:autoSpaceDE w:val="0"/>
      <w:autoSpaceDN w:val="0"/>
      <w:adjustRightInd w:val="0"/>
      <w:spacing w:after="0" w:line="240" w:lineRule="auto"/>
      <w:ind w:firstLine="720"/>
      <w:jc w:val="both"/>
    </w:pPr>
    <w:rPr>
      <w:rFonts w:ascii="Calibri" w:eastAsia="Times New Roman" w:hAnsi="Calibri" w:cs="Calibri"/>
      <w:color w:val="FF0000"/>
      <w:sz w:val="28"/>
      <w:szCs w:val="28"/>
      <w:lang w:eastAsia="fr-FR"/>
    </w:rPr>
  </w:style>
  <w:style w:type="character" w:customStyle="1" w:styleId="Retraitcorpsdetexte3Car">
    <w:name w:val="Retrait corps de texte 3 Car"/>
    <w:basedOn w:val="Policepardfaut"/>
    <w:link w:val="Retraitcorpsdetexte3"/>
    <w:rsid w:val="000C2885"/>
    <w:rPr>
      <w:rFonts w:ascii="Calibri" w:eastAsia="Times New Roman" w:hAnsi="Calibri" w:cs="Calibri"/>
      <w:color w:val="FF0000"/>
      <w:sz w:val="28"/>
      <w:szCs w:val="28"/>
      <w:lang w:eastAsia="fr-FR"/>
    </w:rPr>
  </w:style>
  <w:style w:type="character" w:customStyle="1" w:styleId="Titre1Car">
    <w:name w:val="Titre 1 Car"/>
    <w:basedOn w:val="Policepardfaut"/>
    <w:link w:val="Titre1"/>
    <w:uiPriority w:val="9"/>
    <w:rsid w:val="00A84001"/>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A84001"/>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A84001"/>
    <w:rPr>
      <w:rFonts w:asciiTheme="majorHAnsi" w:eastAsiaTheme="majorEastAsia" w:hAnsiTheme="majorHAnsi" w:cstheme="majorBidi"/>
      <w:b/>
      <w:bCs/>
      <w:color w:val="4F81BD" w:themeColor="accent1"/>
    </w:rPr>
  </w:style>
  <w:style w:type="paragraph" w:styleId="En-ttedetabledesmatires">
    <w:name w:val="TOC Heading"/>
    <w:basedOn w:val="Titre1"/>
    <w:next w:val="Normal"/>
    <w:uiPriority w:val="39"/>
    <w:unhideWhenUsed/>
    <w:qFormat/>
    <w:rsid w:val="00A84001"/>
    <w:pPr>
      <w:outlineLvl w:val="9"/>
    </w:pPr>
  </w:style>
  <w:style w:type="paragraph" w:styleId="TM1">
    <w:name w:val="toc 1"/>
    <w:basedOn w:val="Normal"/>
    <w:next w:val="Normal"/>
    <w:autoRedefine/>
    <w:uiPriority w:val="39"/>
    <w:unhideWhenUsed/>
    <w:rsid w:val="00203634"/>
    <w:pPr>
      <w:tabs>
        <w:tab w:val="right" w:leader="dot" w:pos="9062"/>
      </w:tabs>
      <w:spacing w:after="100"/>
    </w:pPr>
    <w:rPr>
      <w:rFonts w:ascii="Calibri" w:eastAsia="Calibri" w:hAnsi="Calibri" w:cs="Calibri"/>
      <w:b/>
      <w:noProof/>
    </w:rPr>
  </w:style>
  <w:style w:type="paragraph" w:styleId="TM2">
    <w:name w:val="toc 2"/>
    <w:basedOn w:val="Normal"/>
    <w:next w:val="Normal"/>
    <w:autoRedefine/>
    <w:uiPriority w:val="39"/>
    <w:unhideWhenUsed/>
    <w:rsid w:val="00A84001"/>
    <w:pPr>
      <w:spacing w:after="100"/>
      <w:ind w:left="220"/>
    </w:pPr>
  </w:style>
  <w:style w:type="paragraph" w:styleId="TM3">
    <w:name w:val="toc 3"/>
    <w:basedOn w:val="Normal"/>
    <w:next w:val="Normal"/>
    <w:autoRedefine/>
    <w:uiPriority w:val="39"/>
    <w:unhideWhenUsed/>
    <w:rsid w:val="00A84001"/>
    <w:pPr>
      <w:spacing w:after="100"/>
      <w:ind w:left="440"/>
    </w:pPr>
  </w:style>
  <w:style w:type="character" w:styleId="Lienhypertexte">
    <w:name w:val="Hyperlink"/>
    <w:basedOn w:val="Policepardfaut"/>
    <w:uiPriority w:val="99"/>
    <w:unhideWhenUsed/>
    <w:rsid w:val="00A84001"/>
    <w:rPr>
      <w:color w:val="0000FF" w:themeColor="hyperlink"/>
      <w:u w:val="single"/>
    </w:rPr>
  </w:style>
  <w:style w:type="paragraph" w:styleId="Textedebulles">
    <w:name w:val="Balloon Text"/>
    <w:basedOn w:val="Normal"/>
    <w:link w:val="TextedebullesCar"/>
    <w:uiPriority w:val="99"/>
    <w:semiHidden/>
    <w:unhideWhenUsed/>
    <w:rsid w:val="00A840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4001"/>
    <w:rPr>
      <w:rFonts w:ascii="Tahoma" w:hAnsi="Tahoma" w:cs="Tahoma"/>
      <w:sz w:val="16"/>
      <w:szCs w:val="16"/>
    </w:rPr>
  </w:style>
  <w:style w:type="paragraph" w:styleId="En-tte">
    <w:name w:val="header"/>
    <w:basedOn w:val="Normal"/>
    <w:link w:val="En-tteCar"/>
    <w:uiPriority w:val="99"/>
    <w:semiHidden/>
    <w:unhideWhenUsed/>
    <w:rsid w:val="00C6025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6025D"/>
  </w:style>
  <w:style w:type="paragraph" w:styleId="Pieddepage">
    <w:name w:val="footer"/>
    <w:basedOn w:val="Normal"/>
    <w:link w:val="PieddepageCar"/>
    <w:uiPriority w:val="99"/>
    <w:unhideWhenUsed/>
    <w:rsid w:val="00C602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025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Feuille_Microsoft_Office_Excel_97-20031.xls"/><Relationship Id="rId18" Type="http://schemas.openxmlformats.org/officeDocument/2006/relationships/image" Target="media/image4.emf"/><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image" Target="media/image2.emf"/><Relationship Id="rId17" Type="http://schemas.openxmlformats.org/officeDocument/2006/relationships/oleObject" Target="embeddings/Feuille_Microsoft_Office_Excel_97-20032.xls"/><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oleObject" Target="file:///D:\Indicateurs%202014\indicateurs%20annuels%20%20s&#233;lectionn&#233;s%202013.xlsx!A!L1C1:L54C12"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brb@brb.b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981641-708D-4D4C-9584-841078D1D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9</Pages>
  <Words>2310</Words>
  <Characters>12708</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BRB</dc:creator>
  <cp:lastModifiedBy>KAIM</cp:lastModifiedBy>
  <cp:revision>31</cp:revision>
  <cp:lastPrinted>2014-07-07T12:32:00Z</cp:lastPrinted>
  <dcterms:created xsi:type="dcterms:W3CDTF">2014-06-23T09:59:00Z</dcterms:created>
  <dcterms:modified xsi:type="dcterms:W3CDTF">2014-07-17T06:33:00Z</dcterms:modified>
</cp:coreProperties>
</file>