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69" w:rsidRPr="00C11169" w:rsidRDefault="00A67B1A">
      <w:pPr>
        <w:pStyle w:val="En-ttedetabledesmatires"/>
        <w:rPr>
          <w:rFonts w:asciiTheme="minorHAnsi" w:hAnsiTheme="minorHAnsi" w:cs="Arial"/>
          <w:bCs w:val="0"/>
          <w:color w:val="00B0F0"/>
          <w:sz w:val="24"/>
          <w:szCs w:val="24"/>
        </w:rPr>
      </w:pPr>
      <w:r w:rsidRPr="00C11169">
        <w:rPr>
          <w:rFonts w:asciiTheme="minorHAnsi" w:hAnsiTheme="minorHAnsi" w:cs="Arial"/>
          <w:bCs w:val="0"/>
          <w:color w:val="00B0F0"/>
          <w:sz w:val="24"/>
          <w:szCs w:val="24"/>
        </w:rPr>
        <w:t>TABLE DES MATIERES</w:t>
      </w:r>
    </w:p>
    <w:sdt>
      <w:sdtPr>
        <w:rPr>
          <w:rFonts w:asciiTheme="minorHAnsi" w:eastAsiaTheme="minorHAnsi" w:hAnsiTheme="minorHAnsi" w:cstheme="minorBidi"/>
          <w:b w:val="0"/>
          <w:bCs w:val="0"/>
          <w:color w:val="auto"/>
          <w:sz w:val="24"/>
          <w:szCs w:val="24"/>
        </w:rPr>
        <w:id w:val="26224684"/>
        <w:docPartObj>
          <w:docPartGallery w:val="Table of Contents"/>
          <w:docPartUnique/>
        </w:docPartObj>
      </w:sdtPr>
      <w:sdtContent>
        <w:p w:rsidR="00C11169" w:rsidRPr="00C11169" w:rsidRDefault="00C11169" w:rsidP="00C11169">
          <w:pPr>
            <w:pStyle w:val="En-ttedetabledesmatires"/>
            <w:spacing w:after="120"/>
            <w:rPr>
              <w:rFonts w:asciiTheme="minorHAnsi" w:hAnsiTheme="minorHAnsi"/>
              <w:sz w:val="24"/>
              <w:szCs w:val="24"/>
            </w:rPr>
          </w:pPr>
        </w:p>
        <w:p w:rsidR="00C11169" w:rsidRPr="00C11169" w:rsidRDefault="004537AF" w:rsidP="00D21559">
          <w:pPr>
            <w:pStyle w:val="TM1"/>
            <w:rPr>
              <w:rFonts w:eastAsiaTheme="minorEastAsia"/>
              <w:lang w:eastAsia="fr-FR"/>
            </w:rPr>
          </w:pPr>
          <w:r w:rsidRPr="004537AF">
            <w:fldChar w:fldCharType="begin"/>
          </w:r>
          <w:r w:rsidR="00C11169" w:rsidRPr="00C11169">
            <w:instrText xml:space="preserve"> TOC \o "1-3" \h \z \u </w:instrText>
          </w:r>
          <w:r w:rsidRPr="004537AF">
            <w:fldChar w:fldCharType="separate"/>
          </w:r>
          <w:hyperlink w:anchor="_Toc357431327" w:history="1">
            <w:r w:rsidR="00C11169" w:rsidRPr="00C11169">
              <w:rPr>
                <w:rStyle w:val="Lienhypertexte"/>
              </w:rPr>
              <w:t>I. INTRODUCTION</w:t>
            </w:r>
            <w:r w:rsidR="00C11169" w:rsidRPr="00C11169">
              <w:rPr>
                <w:webHidden/>
              </w:rPr>
              <w:tab/>
            </w:r>
            <w:r w:rsidRPr="00C11169">
              <w:rPr>
                <w:webHidden/>
              </w:rPr>
              <w:fldChar w:fldCharType="begin"/>
            </w:r>
            <w:r w:rsidR="00C11169" w:rsidRPr="00C11169">
              <w:rPr>
                <w:webHidden/>
              </w:rPr>
              <w:instrText xml:space="preserve"> PAGEREF _Toc357431327 \h </w:instrText>
            </w:r>
            <w:r w:rsidRPr="00C11169">
              <w:rPr>
                <w:webHidden/>
              </w:rPr>
            </w:r>
            <w:r w:rsidRPr="00C11169">
              <w:rPr>
                <w:webHidden/>
              </w:rPr>
              <w:fldChar w:fldCharType="separate"/>
            </w:r>
            <w:r w:rsidR="002E32C1">
              <w:rPr>
                <w:webHidden/>
              </w:rPr>
              <w:t>1</w:t>
            </w:r>
            <w:r w:rsidRPr="00C11169">
              <w:rPr>
                <w:webHidden/>
              </w:rPr>
              <w:fldChar w:fldCharType="end"/>
            </w:r>
          </w:hyperlink>
        </w:p>
        <w:p w:rsidR="00C11169" w:rsidRPr="00C11169" w:rsidRDefault="004537AF" w:rsidP="00D21559">
          <w:pPr>
            <w:pStyle w:val="TM1"/>
            <w:rPr>
              <w:rFonts w:eastAsiaTheme="minorEastAsia"/>
              <w:lang w:eastAsia="fr-FR"/>
            </w:rPr>
          </w:pPr>
          <w:hyperlink w:anchor="_Toc357431328" w:history="1">
            <w:r w:rsidR="00C11169" w:rsidRPr="00C11169">
              <w:rPr>
                <w:rStyle w:val="Lienhypertexte"/>
              </w:rPr>
              <w:t>II. PRODUCTION</w:t>
            </w:r>
            <w:r w:rsidR="00C11169" w:rsidRPr="00C11169">
              <w:rPr>
                <w:webHidden/>
              </w:rPr>
              <w:tab/>
            </w:r>
            <w:r w:rsidRPr="00C11169">
              <w:rPr>
                <w:webHidden/>
              </w:rPr>
              <w:fldChar w:fldCharType="begin"/>
            </w:r>
            <w:r w:rsidR="00C11169" w:rsidRPr="00C11169">
              <w:rPr>
                <w:webHidden/>
              </w:rPr>
              <w:instrText xml:space="preserve"> PAGEREF _Toc357431328 \h </w:instrText>
            </w:r>
            <w:r w:rsidRPr="00C11169">
              <w:rPr>
                <w:webHidden/>
              </w:rPr>
            </w:r>
            <w:r w:rsidRPr="00C11169">
              <w:rPr>
                <w:webHidden/>
              </w:rPr>
              <w:fldChar w:fldCharType="separate"/>
            </w:r>
            <w:r w:rsidR="002E32C1">
              <w:rPr>
                <w:webHidden/>
              </w:rPr>
              <w:t>1</w:t>
            </w:r>
            <w:r w:rsidRPr="00C11169">
              <w:rPr>
                <w:webHidden/>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29" w:history="1">
            <w:r w:rsidR="00C11169" w:rsidRPr="00C11169">
              <w:rPr>
                <w:rStyle w:val="Lienhypertexte"/>
                <w:noProof/>
                <w:sz w:val="24"/>
                <w:szCs w:val="24"/>
              </w:rPr>
              <w:t>Indice de la production industrielle</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_Toc357431329 \h </w:instrText>
            </w:r>
            <w:r w:rsidRPr="00C11169">
              <w:rPr>
                <w:noProof/>
                <w:webHidden/>
                <w:sz w:val="24"/>
                <w:szCs w:val="24"/>
              </w:rPr>
            </w:r>
            <w:r w:rsidRPr="00C11169">
              <w:rPr>
                <w:noProof/>
                <w:webHidden/>
                <w:sz w:val="24"/>
                <w:szCs w:val="24"/>
              </w:rPr>
              <w:fldChar w:fldCharType="separate"/>
            </w:r>
            <w:r w:rsidR="002E32C1">
              <w:rPr>
                <w:noProof/>
                <w:webHidden/>
                <w:sz w:val="24"/>
                <w:szCs w:val="24"/>
              </w:rPr>
              <w:t>1</w:t>
            </w:r>
            <w:r w:rsidRPr="00C11169">
              <w:rPr>
                <w:noProof/>
                <w:webHidden/>
                <w:sz w:val="24"/>
                <w:szCs w:val="24"/>
              </w:rPr>
              <w:fldChar w:fldCharType="end"/>
            </w:r>
          </w:hyperlink>
        </w:p>
        <w:p w:rsidR="00C11169" w:rsidRPr="00C11169" w:rsidRDefault="004537AF">
          <w:pPr>
            <w:pStyle w:val="TM3"/>
            <w:tabs>
              <w:tab w:val="right" w:leader="dot" w:pos="9062"/>
            </w:tabs>
            <w:rPr>
              <w:rFonts w:eastAsiaTheme="minorEastAsia"/>
              <w:noProof/>
              <w:sz w:val="24"/>
              <w:szCs w:val="24"/>
              <w:lang w:eastAsia="fr-FR"/>
            </w:rPr>
          </w:pPr>
          <w:hyperlink w:anchor="_Toc357431330" w:history="1">
            <w:r w:rsidR="00C11169" w:rsidRPr="00C11169">
              <w:rPr>
                <w:rStyle w:val="Lienhypertexte"/>
                <w:noProof/>
                <w:sz w:val="24"/>
                <w:szCs w:val="24"/>
              </w:rPr>
              <w:t>Café</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_Toc357431330 \h </w:instrText>
            </w:r>
            <w:r w:rsidRPr="00C11169">
              <w:rPr>
                <w:noProof/>
                <w:webHidden/>
                <w:sz w:val="24"/>
                <w:szCs w:val="24"/>
              </w:rPr>
            </w:r>
            <w:r w:rsidRPr="00C11169">
              <w:rPr>
                <w:noProof/>
                <w:webHidden/>
                <w:sz w:val="24"/>
                <w:szCs w:val="24"/>
              </w:rPr>
              <w:fldChar w:fldCharType="separate"/>
            </w:r>
            <w:r w:rsidR="002E32C1">
              <w:rPr>
                <w:noProof/>
                <w:webHidden/>
                <w:sz w:val="24"/>
                <w:szCs w:val="24"/>
              </w:rPr>
              <w:t>1</w:t>
            </w:r>
            <w:r w:rsidRPr="00C11169">
              <w:rPr>
                <w:noProof/>
                <w:webHidden/>
                <w:sz w:val="24"/>
                <w:szCs w:val="24"/>
              </w:rPr>
              <w:fldChar w:fldCharType="end"/>
            </w:r>
          </w:hyperlink>
        </w:p>
        <w:p w:rsidR="00C11169" w:rsidRPr="00C11169" w:rsidRDefault="004537AF">
          <w:pPr>
            <w:pStyle w:val="TM3"/>
            <w:tabs>
              <w:tab w:val="right" w:leader="dot" w:pos="9062"/>
            </w:tabs>
            <w:rPr>
              <w:rFonts w:eastAsiaTheme="minorEastAsia"/>
              <w:noProof/>
              <w:sz w:val="24"/>
              <w:szCs w:val="24"/>
              <w:lang w:eastAsia="fr-FR"/>
            </w:rPr>
          </w:pPr>
          <w:hyperlink w:anchor="_Toc357431331" w:history="1">
            <w:r w:rsidR="00C11169" w:rsidRPr="00C11169">
              <w:rPr>
                <w:rStyle w:val="Lienhypertexte"/>
                <w:noProof/>
                <w:sz w:val="24"/>
                <w:szCs w:val="24"/>
              </w:rPr>
              <w:t>Thé</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_Toc357431331 \h </w:instrText>
            </w:r>
            <w:r w:rsidRPr="00C11169">
              <w:rPr>
                <w:noProof/>
                <w:webHidden/>
                <w:sz w:val="24"/>
                <w:szCs w:val="24"/>
              </w:rPr>
            </w:r>
            <w:r w:rsidRPr="00C11169">
              <w:rPr>
                <w:noProof/>
                <w:webHidden/>
                <w:sz w:val="24"/>
                <w:szCs w:val="24"/>
              </w:rPr>
              <w:fldChar w:fldCharType="separate"/>
            </w:r>
            <w:r w:rsidR="002E32C1">
              <w:rPr>
                <w:noProof/>
                <w:webHidden/>
                <w:sz w:val="24"/>
                <w:szCs w:val="24"/>
              </w:rPr>
              <w:t>1</w:t>
            </w:r>
            <w:r w:rsidRPr="00C11169">
              <w:rPr>
                <w:noProof/>
                <w:webHidden/>
                <w:sz w:val="24"/>
                <w:szCs w:val="24"/>
              </w:rPr>
              <w:fldChar w:fldCharType="end"/>
            </w:r>
          </w:hyperlink>
        </w:p>
        <w:p w:rsidR="00C11169" w:rsidRPr="00C11169" w:rsidRDefault="004537AF" w:rsidP="00D21559">
          <w:pPr>
            <w:pStyle w:val="TM1"/>
            <w:rPr>
              <w:rFonts w:eastAsiaTheme="minorEastAsia"/>
              <w:lang w:eastAsia="fr-FR"/>
            </w:rPr>
          </w:pPr>
          <w:hyperlink w:anchor="_Toc357431332" w:history="1">
            <w:r w:rsidR="00C11169" w:rsidRPr="00C11169">
              <w:rPr>
                <w:rStyle w:val="Lienhypertexte"/>
              </w:rPr>
              <w:t>III. INDICE DES PRIX A LA CONSOMMATON</w:t>
            </w:r>
            <w:r w:rsidR="00C11169" w:rsidRPr="00C11169">
              <w:rPr>
                <w:webHidden/>
              </w:rPr>
              <w:tab/>
            </w:r>
            <w:r w:rsidRPr="00C11169">
              <w:rPr>
                <w:webHidden/>
              </w:rPr>
              <w:fldChar w:fldCharType="begin"/>
            </w:r>
            <w:r w:rsidR="00C11169" w:rsidRPr="00C11169">
              <w:rPr>
                <w:webHidden/>
              </w:rPr>
              <w:instrText xml:space="preserve"> PAGEREF _Toc357431332 \h </w:instrText>
            </w:r>
            <w:r w:rsidRPr="00C11169">
              <w:rPr>
                <w:webHidden/>
              </w:rPr>
            </w:r>
            <w:r w:rsidRPr="00C11169">
              <w:rPr>
                <w:webHidden/>
              </w:rPr>
              <w:fldChar w:fldCharType="separate"/>
            </w:r>
            <w:r w:rsidR="002E32C1">
              <w:rPr>
                <w:webHidden/>
              </w:rPr>
              <w:t>1</w:t>
            </w:r>
            <w:r w:rsidRPr="00C11169">
              <w:rPr>
                <w:webHidden/>
              </w:rPr>
              <w:fldChar w:fldCharType="end"/>
            </w:r>
          </w:hyperlink>
        </w:p>
        <w:p w:rsidR="00C11169" w:rsidRPr="00C11169" w:rsidRDefault="004537AF" w:rsidP="00D21559">
          <w:pPr>
            <w:pStyle w:val="TM1"/>
            <w:rPr>
              <w:rFonts w:eastAsiaTheme="minorEastAsia"/>
              <w:lang w:eastAsia="fr-FR"/>
            </w:rPr>
          </w:pPr>
          <w:hyperlink w:anchor="_Toc357431333" w:history="1">
            <w:r w:rsidR="00C11169" w:rsidRPr="00C11169">
              <w:rPr>
                <w:rStyle w:val="Lienhypertexte"/>
              </w:rPr>
              <w:t>IV. FINANCES PUBLIQUES</w:t>
            </w:r>
            <w:r w:rsidR="00C11169" w:rsidRPr="00C11169">
              <w:rPr>
                <w:webHidden/>
              </w:rPr>
              <w:tab/>
            </w:r>
            <w:r w:rsidRPr="00C11169">
              <w:rPr>
                <w:webHidden/>
              </w:rPr>
              <w:fldChar w:fldCharType="begin"/>
            </w:r>
            <w:r w:rsidR="00C11169" w:rsidRPr="00C11169">
              <w:rPr>
                <w:webHidden/>
              </w:rPr>
              <w:instrText xml:space="preserve"> PAGEREF _Toc357431333 \h </w:instrText>
            </w:r>
            <w:r w:rsidRPr="00C11169">
              <w:rPr>
                <w:webHidden/>
              </w:rPr>
            </w:r>
            <w:r w:rsidRPr="00C11169">
              <w:rPr>
                <w:webHidden/>
              </w:rPr>
              <w:fldChar w:fldCharType="separate"/>
            </w:r>
            <w:r w:rsidR="002E32C1">
              <w:rPr>
                <w:webHidden/>
              </w:rPr>
              <w:t>2</w:t>
            </w:r>
            <w:r w:rsidRPr="00C11169">
              <w:rPr>
                <w:webHidden/>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34" w:history="1">
            <w:r w:rsidR="00C11169" w:rsidRPr="00C11169">
              <w:rPr>
                <w:rStyle w:val="Lienhypertexte"/>
                <w:noProof/>
                <w:sz w:val="24"/>
                <w:szCs w:val="24"/>
              </w:rPr>
              <w:t>Recettes</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_Toc357431334 \h </w:instrText>
            </w:r>
            <w:r w:rsidRPr="00C11169">
              <w:rPr>
                <w:noProof/>
                <w:webHidden/>
                <w:sz w:val="24"/>
                <w:szCs w:val="24"/>
              </w:rPr>
            </w:r>
            <w:r w:rsidRPr="00C11169">
              <w:rPr>
                <w:noProof/>
                <w:webHidden/>
                <w:sz w:val="24"/>
                <w:szCs w:val="24"/>
              </w:rPr>
              <w:fldChar w:fldCharType="separate"/>
            </w:r>
            <w:r w:rsidR="002E32C1">
              <w:rPr>
                <w:noProof/>
                <w:webHidden/>
                <w:sz w:val="24"/>
                <w:szCs w:val="24"/>
              </w:rPr>
              <w:t>2</w:t>
            </w:r>
            <w:r w:rsidRPr="00C11169">
              <w:rPr>
                <w:noProof/>
                <w:webHidden/>
                <w:sz w:val="24"/>
                <w:szCs w:val="24"/>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35" w:history="1">
            <w:r w:rsidR="00C11169" w:rsidRPr="00C11169">
              <w:rPr>
                <w:rStyle w:val="Lienhypertexte"/>
                <w:noProof/>
                <w:sz w:val="24"/>
                <w:szCs w:val="24"/>
              </w:rPr>
              <w:t>Dépenses</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_Toc357431335 \h </w:instrText>
            </w:r>
            <w:r w:rsidRPr="00C11169">
              <w:rPr>
                <w:noProof/>
                <w:webHidden/>
                <w:sz w:val="24"/>
                <w:szCs w:val="24"/>
              </w:rPr>
            </w:r>
            <w:r w:rsidRPr="00C11169">
              <w:rPr>
                <w:noProof/>
                <w:webHidden/>
                <w:sz w:val="24"/>
                <w:szCs w:val="24"/>
              </w:rPr>
              <w:fldChar w:fldCharType="separate"/>
            </w:r>
            <w:r w:rsidR="002E32C1">
              <w:rPr>
                <w:noProof/>
                <w:webHidden/>
                <w:sz w:val="24"/>
                <w:szCs w:val="24"/>
              </w:rPr>
              <w:t>2</w:t>
            </w:r>
            <w:r w:rsidRPr="00C11169">
              <w:rPr>
                <w:noProof/>
                <w:webHidden/>
                <w:sz w:val="24"/>
                <w:szCs w:val="24"/>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36" w:history="1">
            <w:r w:rsidR="00C11169" w:rsidRPr="00C11169">
              <w:rPr>
                <w:rStyle w:val="Lienhypertexte"/>
                <w:noProof/>
                <w:sz w:val="24"/>
                <w:szCs w:val="24"/>
              </w:rPr>
              <w:t>Dette publique</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_Toc357431336 \h </w:instrText>
            </w:r>
            <w:r w:rsidRPr="00C11169">
              <w:rPr>
                <w:noProof/>
                <w:webHidden/>
                <w:sz w:val="24"/>
                <w:szCs w:val="24"/>
              </w:rPr>
            </w:r>
            <w:r w:rsidRPr="00C11169">
              <w:rPr>
                <w:noProof/>
                <w:webHidden/>
                <w:sz w:val="24"/>
                <w:szCs w:val="24"/>
              </w:rPr>
              <w:fldChar w:fldCharType="separate"/>
            </w:r>
            <w:r w:rsidR="002E32C1">
              <w:rPr>
                <w:noProof/>
                <w:webHidden/>
                <w:sz w:val="24"/>
                <w:szCs w:val="24"/>
              </w:rPr>
              <w:t>2</w:t>
            </w:r>
            <w:r w:rsidRPr="00C11169">
              <w:rPr>
                <w:noProof/>
                <w:webHidden/>
                <w:sz w:val="24"/>
                <w:szCs w:val="24"/>
              </w:rPr>
              <w:fldChar w:fldCharType="end"/>
            </w:r>
          </w:hyperlink>
        </w:p>
        <w:p w:rsidR="00C11169" w:rsidRPr="00C11169" w:rsidRDefault="004537AF">
          <w:pPr>
            <w:pStyle w:val="TM3"/>
            <w:tabs>
              <w:tab w:val="right" w:leader="dot" w:pos="9062"/>
            </w:tabs>
            <w:rPr>
              <w:rFonts w:eastAsiaTheme="minorEastAsia"/>
              <w:noProof/>
              <w:sz w:val="24"/>
              <w:szCs w:val="24"/>
              <w:lang w:eastAsia="fr-FR"/>
            </w:rPr>
          </w:pPr>
          <w:hyperlink w:anchor="_Toc357431337" w:history="1">
            <w:r w:rsidR="00C11169" w:rsidRPr="00C11169">
              <w:rPr>
                <w:rStyle w:val="Lienhypertexte"/>
                <w:noProof/>
                <w:sz w:val="24"/>
                <w:szCs w:val="24"/>
              </w:rPr>
              <w:t>- Dette intérieure</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_Toc357431337 \h </w:instrText>
            </w:r>
            <w:r w:rsidRPr="00C11169">
              <w:rPr>
                <w:noProof/>
                <w:webHidden/>
                <w:sz w:val="24"/>
                <w:szCs w:val="24"/>
              </w:rPr>
            </w:r>
            <w:r w:rsidRPr="00C11169">
              <w:rPr>
                <w:noProof/>
                <w:webHidden/>
                <w:sz w:val="24"/>
                <w:szCs w:val="24"/>
              </w:rPr>
              <w:fldChar w:fldCharType="separate"/>
            </w:r>
            <w:r w:rsidR="002E32C1">
              <w:rPr>
                <w:noProof/>
                <w:webHidden/>
                <w:sz w:val="24"/>
                <w:szCs w:val="24"/>
              </w:rPr>
              <w:t>2</w:t>
            </w:r>
            <w:r w:rsidRPr="00C11169">
              <w:rPr>
                <w:noProof/>
                <w:webHidden/>
                <w:sz w:val="24"/>
                <w:szCs w:val="24"/>
              </w:rPr>
              <w:fldChar w:fldCharType="end"/>
            </w:r>
          </w:hyperlink>
        </w:p>
        <w:p w:rsidR="00C11169" w:rsidRPr="00C11169" w:rsidRDefault="004537AF">
          <w:pPr>
            <w:pStyle w:val="TM3"/>
            <w:tabs>
              <w:tab w:val="right" w:leader="dot" w:pos="9062"/>
            </w:tabs>
            <w:rPr>
              <w:rFonts w:eastAsiaTheme="minorEastAsia"/>
              <w:noProof/>
              <w:sz w:val="24"/>
              <w:szCs w:val="24"/>
              <w:lang w:eastAsia="fr-FR"/>
            </w:rPr>
          </w:pPr>
          <w:hyperlink w:anchor="_Toc357431338" w:history="1">
            <w:r w:rsidR="00C11169" w:rsidRPr="00C11169">
              <w:rPr>
                <w:rStyle w:val="Lienhypertexte"/>
                <w:noProof/>
                <w:sz w:val="24"/>
                <w:szCs w:val="24"/>
              </w:rPr>
              <w:t>- Dette extérieure</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_Toc357431338 \h </w:instrText>
            </w:r>
            <w:r w:rsidRPr="00C11169">
              <w:rPr>
                <w:noProof/>
                <w:webHidden/>
                <w:sz w:val="24"/>
                <w:szCs w:val="24"/>
              </w:rPr>
            </w:r>
            <w:r w:rsidRPr="00C11169">
              <w:rPr>
                <w:noProof/>
                <w:webHidden/>
                <w:sz w:val="24"/>
                <w:szCs w:val="24"/>
              </w:rPr>
              <w:fldChar w:fldCharType="separate"/>
            </w:r>
            <w:r w:rsidR="002E32C1">
              <w:rPr>
                <w:noProof/>
                <w:webHidden/>
                <w:sz w:val="24"/>
                <w:szCs w:val="24"/>
              </w:rPr>
              <w:t>3</w:t>
            </w:r>
            <w:r w:rsidRPr="00C11169">
              <w:rPr>
                <w:noProof/>
                <w:webHidden/>
                <w:sz w:val="24"/>
                <w:szCs w:val="24"/>
              </w:rPr>
              <w:fldChar w:fldCharType="end"/>
            </w:r>
          </w:hyperlink>
        </w:p>
        <w:p w:rsidR="00C11169" w:rsidRPr="00C11169" w:rsidRDefault="004537AF" w:rsidP="00D21559">
          <w:pPr>
            <w:pStyle w:val="TM1"/>
            <w:rPr>
              <w:rFonts w:eastAsiaTheme="minorEastAsia"/>
              <w:lang w:eastAsia="fr-FR"/>
            </w:rPr>
          </w:pPr>
          <w:hyperlink w:anchor="_Toc357431339" w:history="1">
            <w:r w:rsidR="00C11169" w:rsidRPr="00C11169">
              <w:rPr>
                <w:rStyle w:val="Lienhypertexte"/>
              </w:rPr>
              <w:t>V. BASE MONETAIRE, MASSE MONETAIRE ET SES CONTREPARTIES</w:t>
            </w:r>
            <w:r w:rsidR="00C11169" w:rsidRPr="00C11169">
              <w:rPr>
                <w:webHidden/>
              </w:rPr>
              <w:tab/>
            </w:r>
            <w:r w:rsidRPr="00C11169">
              <w:rPr>
                <w:webHidden/>
              </w:rPr>
              <w:fldChar w:fldCharType="begin"/>
            </w:r>
            <w:r w:rsidR="00C11169" w:rsidRPr="00C11169">
              <w:rPr>
                <w:webHidden/>
              </w:rPr>
              <w:instrText xml:space="preserve"> PAGEREF _Toc357431339 \h </w:instrText>
            </w:r>
            <w:r w:rsidRPr="00C11169">
              <w:rPr>
                <w:webHidden/>
              </w:rPr>
            </w:r>
            <w:r w:rsidRPr="00C11169">
              <w:rPr>
                <w:webHidden/>
              </w:rPr>
              <w:fldChar w:fldCharType="separate"/>
            </w:r>
            <w:r w:rsidR="002E32C1">
              <w:rPr>
                <w:webHidden/>
              </w:rPr>
              <w:t>3</w:t>
            </w:r>
            <w:r w:rsidRPr="00C11169">
              <w:rPr>
                <w:webHidden/>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40" w:history="1">
            <w:r w:rsidR="00C11169" w:rsidRPr="00C11169">
              <w:rPr>
                <w:rStyle w:val="Lienhypertexte"/>
                <w:noProof/>
                <w:sz w:val="24"/>
                <w:szCs w:val="24"/>
              </w:rPr>
              <w:t>Base monétaire</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_Toc357431340 \h </w:instrText>
            </w:r>
            <w:r w:rsidRPr="00C11169">
              <w:rPr>
                <w:noProof/>
                <w:webHidden/>
                <w:sz w:val="24"/>
                <w:szCs w:val="24"/>
              </w:rPr>
            </w:r>
            <w:r w:rsidRPr="00C11169">
              <w:rPr>
                <w:noProof/>
                <w:webHidden/>
                <w:sz w:val="24"/>
                <w:szCs w:val="24"/>
              </w:rPr>
              <w:fldChar w:fldCharType="separate"/>
            </w:r>
            <w:r w:rsidR="002E32C1">
              <w:rPr>
                <w:noProof/>
                <w:webHidden/>
                <w:sz w:val="24"/>
                <w:szCs w:val="24"/>
              </w:rPr>
              <w:t>3</w:t>
            </w:r>
            <w:r w:rsidRPr="00C11169">
              <w:rPr>
                <w:noProof/>
                <w:webHidden/>
                <w:sz w:val="24"/>
                <w:szCs w:val="24"/>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41" w:history="1">
            <w:r w:rsidR="00C11169" w:rsidRPr="00C11169">
              <w:rPr>
                <w:rStyle w:val="Lienhypertexte"/>
                <w:rFonts w:eastAsia="Times New Roman"/>
                <w:noProof/>
                <w:sz w:val="24"/>
                <w:szCs w:val="24"/>
                <w:lang w:eastAsia="fr-FR"/>
              </w:rPr>
              <w:t>Masse monétaire</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_Toc357431341 \h </w:instrText>
            </w:r>
            <w:r w:rsidRPr="00C11169">
              <w:rPr>
                <w:noProof/>
                <w:webHidden/>
                <w:sz w:val="24"/>
                <w:szCs w:val="24"/>
              </w:rPr>
            </w:r>
            <w:r w:rsidRPr="00C11169">
              <w:rPr>
                <w:noProof/>
                <w:webHidden/>
                <w:sz w:val="24"/>
                <w:szCs w:val="24"/>
              </w:rPr>
              <w:fldChar w:fldCharType="separate"/>
            </w:r>
            <w:r w:rsidR="002E32C1">
              <w:rPr>
                <w:noProof/>
                <w:webHidden/>
                <w:sz w:val="24"/>
                <w:szCs w:val="24"/>
              </w:rPr>
              <w:t>3</w:t>
            </w:r>
            <w:r w:rsidRPr="00C11169">
              <w:rPr>
                <w:noProof/>
                <w:webHidden/>
                <w:sz w:val="24"/>
                <w:szCs w:val="24"/>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42" w:history="1">
            <w:r w:rsidR="00C11169" w:rsidRPr="00C11169">
              <w:rPr>
                <w:rStyle w:val="Lienhypertexte"/>
                <w:rFonts w:eastAsia="Times New Roman"/>
                <w:noProof/>
                <w:sz w:val="24"/>
                <w:szCs w:val="24"/>
                <w:lang w:eastAsia="fr-FR"/>
              </w:rPr>
              <w:t>Contreparties</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_Toc357431342 \h </w:instrText>
            </w:r>
            <w:r w:rsidRPr="00C11169">
              <w:rPr>
                <w:noProof/>
                <w:webHidden/>
                <w:sz w:val="24"/>
                <w:szCs w:val="24"/>
              </w:rPr>
            </w:r>
            <w:r w:rsidRPr="00C11169">
              <w:rPr>
                <w:noProof/>
                <w:webHidden/>
                <w:sz w:val="24"/>
                <w:szCs w:val="24"/>
              </w:rPr>
              <w:fldChar w:fldCharType="separate"/>
            </w:r>
            <w:r w:rsidR="002E32C1">
              <w:rPr>
                <w:noProof/>
                <w:webHidden/>
                <w:sz w:val="24"/>
                <w:szCs w:val="24"/>
              </w:rPr>
              <w:t>4</w:t>
            </w:r>
            <w:r w:rsidRPr="00C11169">
              <w:rPr>
                <w:noProof/>
                <w:webHidden/>
                <w:sz w:val="24"/>
                <w:szCs w:val="24"/>
              </w:rPr>
              <w:fldChar w:fldCharType="end"/>
            </w:r>
          </w:hyperlink>
        </w:p>
        <w:p w:rsidR="00C11169" w:rsidRPr="00D21559" w:rsidRDefault="004537AF" w:rsidP="00D21559">
          <w:pPr>
            <w:pStyle w:val="TM1"/>
            <w:rPr>
              <w:rFonts w:eastAsiaTheme="minorEastAsia"/>
              <w:lang w:eastAsia="fr-FR"/>
            </w:rPr>
          </w:pPr>
          <w:hyperlink w:anchor="_Toc357431343" w:history="1">
            <w:r w:rsidR="00C11169" w:rsidRPr="00D21559">
              <w:rPr>
                <w:rStyle w:val="Lienhypertexte"/>
              </w:rPr>
              <w:t>VI. COMMERCE EXTERIEUR</w:t>
            </w:r>
            <w:r w:rsidR="00C11169" w:rsidRPr="00D21559">
              <w:rPr>
                <w:webHidden/>
              </w:rPr>
              <w:tab/>
            </w:r>
            <w:r w:rsidRPr="00D21559">
              <w:rPr>
                <w:webHidden/>
              </w:rPr>
              <w:fldChar w:fldCharType="begin"/>
            </w:r>
            <w:r w:rsidR="00C11169" w:rsidRPr="00D21559">
              <w:rPr>
                <w:webHidden/>
              </w:rPr>
              <w:instrText xml:space="preserve"> PAGEREF _Toc357431343 \h </w:instrText>
            </w:r>
            <w:r w:rsidRPr="00D21559">
              <w:rPr>
                <w:webHidden/>
              </w:rPr>
            </w:r>
            <w:r w:rsidRPr="00D21559">
              <w:rPr>
                <w:webHidden/>
              </w:rPr>
              <w:fldChar w:fldCharType="separate"/>
            </w:r>
            <w:r w:rsidR="002E32C1">
              <w:rPr>
                <w:webHidden/>
              </w:rPr>
              <w:t>4</w:t>
            </w:r>
            <w:r w:rsidRPr="00D21559">
              <w:rPr>
                <w:webHidden/>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44" w:history="1">
            <w:r w:rsidR="00C11169" w:rsidRPr="00C11169">
              <w:rPr>
                <w:rStyle w:val="Lienhypertexte"/>
                <w:noProof/>
                <w:sz w:val="24"/>
                <w:szCs w:val="24"/>
                <w:lang w:val="fr-BE"/>
              </w:rPr>
              <w:t>Exportations</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_Toc357431344 \h </w:instrText>
            </w:r>
            <w:r w:rsidRPr="00C11169">
              <w:rPr>
                <w:noProof/>
                <w:webHidden/>
                <w:sz w:val="24"/>
                <w:szCs w:val="24"/>
              </w:rPr>
            </w:r>
            <w:r w:rsidRPr="00C11169">
              <w:rPr>
                <w:noProof/>
                <w:webHidden/>
                <w:sz w:val="24"/>
                <w:szCs w:val="24"/>
              </w:rPr>
              <w:fldChar w:fldCharType="separate"/>
            </w:r>
            <w:r w:rsidR="002E32C1">
              <w:rPr>
                <w:noProof/>
                <w:webHidden/>
                <w:sz w:val="24"/>
                <w:szCs w:val="24"/>
              </w:rPr>
              <w:t>4</w:t>
            </w:r>
            <w:r w:rsidRPr="00C11169">
              <w:rPr>
                <w:noProof/>
                <w:webHidden/>
                <w:sz w:val="24"/>
                <w:szCs w:val="24"/>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45" w:history="1">
            <w:r w:rsidR="00C11169" w:rsidRPr="00C11169">
              <w:rPr>
                <w:rStyle w:val="Lienhypertexte"/>
                <w:noProof/>
                <w:sz w:val="24"/>
                <w:szCs w:val="24"/>
              </w:rPr>
              <w:t>Importations</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_Toc357431345 \h </w:instrText>
            </w:r>
            <w:r w:rsidRPr="00C11169">
              <w:rPr>
                <w:noProof/>
                <w:webHidden/>
                <w:sz w:val="24"/>
                <w:szCs w:val="24"/>
              </w:rPr>
            </w:r>
            <w:r w:rsidRPr="00C11169">
              <w:rPr>
                <w:noProof/>
                <w:webHidden/>
                <w:sz w:val="24"/>
                <w:szCs w:val="24"/>
              </w:rPr>
              <w:fldChar w:fldCharType="separate"/>
            </w:r>
            <w:r w:rsidR="002E32C1">
              <w:rPr>
                <w:noProof/>
                <w:webHidden/>
                <w:sz w:val="24"/>
                <w:szCs w:val="24"/>
              </w:rPr>
              <w:t>4</w:t>
            </w:r>
            <w:r w:rsidRPr="00C11169">
              <w:rPr>
                <w:noProof/>
                <w:webHidden/>
                <w:sz w:val="24"/>
                <w:szCs w:val="24"/>
              </w:rPr>
              <w:fldChar w:fldCharType="end"/>
            </w:r>
          </w:hyperlink>
        </w:p>
        <w:p w:rsidR="00C11169" w:rsidRPr="00D21559" w:rsidRDefault="004537AF" w:rsidP="00D21559">
          <w:pPr>
            <w:pStyle w:val="TM1"/>
            <w:rPr>
              <w:rFonts w:eastAsiaTheme="minorEastAsia"/>
              <w:lang w:eastAsia="fr-FR"/>
            </w:rPr>
          </w:pPr>
          <w:hyperlink w:anchor="_Toc357431346" w:history="1">
            <w:r w:rsidR="00C11169" w:rsidRPr="00D21559">
              <w:rPr>
                <w:rStyle w:val="Lienhypertexte"/>
              </w:rPr>
              <w:t>VII.TAUX DE CHANGE</w:t>
            </w:r>
            <w:r w:rsidR="00C11169" w:rsidRPr="00D21559">
              <w:rPr>
                <w:webHidden/>
              </w:rPr>
              <w:tab/>
            </w:r>
            <w:r w:rsidRPr="00D21559">
              <w:rPr>
                <w:webHidden/>
              </w:rPr>
              <w:fldChar w:fldCharType="begin"/>
            </w:r>
            <w:r w:rsidR="00C11169" w:rsidRPr="00D21559">
              <w:rPr>
                <w:webHidden/>
              </w:rPr>
              <w:instrText xml:space="preserve"> PAGEREF _Toc357431346 \h </w:instrText>
            </w:r>
            <w:r w:rsidRPr="00D21559">
              <w:rPr>
                <w:webHidden/>
              </w:rPr>
            </w:r>
            <w:r w:rsidRPr="00D21559">
              <w:rPr>
                <w:webHidden/>
              </w:rPr>
              <w:fldChar w:fldCharType="separate"/>
            </w:r>
            <w:r w:rsidR="002E32C1">
              <w:rPr>
                <w:webHidden/>
              </w:rPr>
              <w:t>5</w:t>
            </w:r>
            <w:r w:rsidRPr="00D21559">
              <w:rPr>
                <w:webHidden/>
              </w:rPr>
              <w:fldChar w:fldCharType="end"/>
            </w:r>
          </w:hyperlink>
        </w:p>
        <w:p w:rsidR="00C11169" w:rsidRPr="00D21559" w:rsidRDefault="004537AF" w:rsidP="00D21559">
          <w:pPr>
            <w:pStyle w:val="TM1"/>
            <w:rPr>
              <w:rFonts w:eastAsiaTheme="minorEastAsia"/>
              <w:lang w:eastAsia="fr-FR"/>
            </w:rPr>
          </w:pPr>
          <w:hyperlink w:anchor="_Toc357431347" w:history="1">
            <w:r w:rsidR="00C11169" w:rsidRPr="00D21559">
              <w:rPr>
                <w:rStyle w:val="Lienhypertexte"/>
              </w:rPr>
              <w:t>VIII. PRINCIPAUX INDICATEURS D’ACTIVITE DU SECTEUR BANCAIRE</w:t>
            </w:r>
            <w:r w:rsidR="00C11169" w:rsidRPr="00D21559">
              <w:rPr>
                <w:webHidden/>
              </w:rPr>
              <w:tab/>
            </w:r>
            <w:r w:rsidRPr="00D21559">
              <w:rPr>
                <w:webHidden/>
              </w:rPr>
              <w:fldChar w:fldCharType="begin"/>
            </w:r>
            <w:r w:rsidR="00C11169" w:rsidRPr="00D21559">
              <w:rPr>
                <w:webHidden/>
              </w:rPr>
              <w:instrText xml:space="preserve"> PAGEREF _Toc357431347 \h </w:instrText>
            </w:r>
            <w:r w:rsidRPr="00D21559">
              <w:rPr>
                <w:webHidden/>
              </w:rPr>
            </w:r>
            <w:r w:rsidRPr="00D21559">
              <w:rPr>
                <w:webHidden/>
              </w:rPr>
              <w:fldChar w:fldCharType="separate"/>
            </w:r>
            <w:r w:rsidR="002E32C1">
              <w:rPr>
                <w:webHidden/>
              </w:rPr>
              <w:t>5</w:t>
            </w:r>
            <w:r w:rsidRPr="00D21559">
              <w:rPr>
                <w:webHidden/>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48" w:history="1">
            <w:r w:rsidR="00C11169" w:rsidRPr="00C11169">
              <w:rPr>
                <w:rStyle w:val="Lienhypertexte"/>
                <w:noProof/>
                <w:sz w:val="24"/>
                <w:szCs w:val="24"/>
              </w:rPr>
              <w:t>Principaux Emplois</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_Toc357431348 \h </w:instrText>
            </w:r>
            <w:r w:rsidRPr="00C11169">
              <w:rPr>
                <w:noProof/>
                <w:webHidden/>
                <w:sz w:val="24"/>
                <w:szCs w:val="24"/>
              </w:rPr>
            </w:r>
            <w:r w:rsidRPr="00C11169">
              <w:rPr>
                <w:noProof/>
                <w:webHidden/>
                <w:sz w:val="24"/>
                <w:szCs w:val="24"/>
              </w:rPr>
              <w:fldChar w:fldCharType="separate"/>
            </w:r>
            <w:r w:rsidR="002E32C1">
              <w:rPr>
                <w:noProof/>
                <w:webHidden/>
                <w:sz w:val="24"/>
                <w:szCs w:val="24"/>
              </w:rPr>
              <w:t>5</w:t>
            </w:r>
            <w:r w:rsidRPr="00C11169">
              <w:rPr>
                <w:noProof/>
                <w:webHidden/>
                <w:sz w:val="24"/>
                <w:szCs w:val="24"/>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49" w:history="1">
            <w:r w:rsidR="00C11169" w:rsidRPr="00C11169">
              <w:rPr>
                <w:rStyle w:val="Lienhypertexte"/>
                <w:noProof/>
                <w:sz w:val="24"/>
                <w:szCs w:val="24"/>
              </w:rPr>
              <w:t>Principales Ressources</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_Toc357431349 \h </w:instrText>
            </w:r>
            <w:r w:rsidRPr="00C11169">
              <w:rPr>
                <w:noProof/>
                <w:webHidden/>
                <w:sz w:val="24"/>
                <w:szCs w:val="24"/>
              </w:rPr>
            </w:r>
            <w:r w:rsidRPr="00C11169">
              <w:rPr>
                <w:noProof/>
                <w:webHidden/>
                <w:sz w:val="24"/>
                <w:szCs w:val="24"/>
              </w:rPr>
              <w:fldChar w:fldCharType="separate"/>
            </w:r>
            <w:r w:rsidR="002E32C1">
              <w:rPr>
                <w:noProof/>
                <w:webHidden/>
                <w:sz w:val="24"/>
                <w:szCs w:val="24"/>
              </w:rPr>
              <w:t>5</w:t>
            </w:r>
            <w:r w:rsidRPr="00C11169">
              <w:rPr>
                <w:noProof/>
                <w:webHidden/>
                <w:sz w:val="24"/>
                <w:szCs w:val="24"/>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50" w:history="1">
            <w:r w:rsidR="00C11169" w:rsidRPr="00C11169">
              <w:rPr>
                <w:rStyle w:val="Lienhypertexte"/>
                <w:noProof/>
                <w:sz w:val="24"/>
                <w:szCs w:val="24"/>
              </w:rPr>
              <w:t>Créances compromises</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_Toc357431350 \h </w:instrText>
            </w:r>
            <w:r w:rsidRPr="00C11169">
              <w:rPr>
                <w:noProof/>
                <w:webHidden/>
                <w:sz w:val="24"/>
                <w:szCs w:val="24"/>
              </w:rPr>
            </w:r>
            <w:r w:rsidRPr="00C11169">
              <w:rPr>
                <w:noProof/>
                <w:webHidden/>
                <w:sz w:val="24"/>
                <w:szCs w:val="24"/>
              </w:rPr>
              <w:fldChar w:fldCharType="separate"/>
            </w:r>
            <w:r w:rsidR="002E32C1">
              <w:rPr>
                <w:noProof/>
                <w:webHidden/>
                <w:sz w:val="24"/>
                <w:szCs w:val="24"/>
              </w:rPr>
              <w:t>6</w:t>
            </w:r>
            <w:r w:rsidRPr="00C11169">
              <w:rPr>
                <w:noProof/>
                <w:webHidden/>
                <w:sz w:val="24"/>
                <w:szCs w:val="24"/>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51" w:history="1">
            <w:r w:rsidR="00C11169" w:rsidRPr="00C11169">
              <w:rPr>
                <w:rStyle w:val="Lienhypertexte"/>
                <w:noProof/>
                <w:sz w:val="24"/>
                <w:szCs w:val="24"/>
              </w:rPr>
              <w:t>Résultat</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_Toc357431351 \h </w:instrText>
            </w:r>
            <w:r w:rsidRPr="00C11169">
              <w:rPr>
                <w:noProof/>
                <w:webHidden/>
                <w:sz w:val="24"/>
                <w:szCs w:val="24"/>
              </w:rPr>
            </w:r>
            <w:r w:rsidRPr="00C11169">
              <w:rPr>
                <w:noProof/>
                <w:webHidden/>
                <w:sz w:val="24"/>
                <w:szCs w:val="24"/>
              </w:rPr>
              <w:fldChar w:fldCharType="separate"/>
            </w:r>
            <w:r w:rsidR="002E32C1">
              <w:rPr>
                <w:noProof/>
                <w:webHidden/>
                <w:sz w:val="24"/>
                <w:szCs w:val="24"/>
              </w:rPr>
              <w:t>6</w:t>
            </w:r>
            <w:r w:rsidRPr="00C11169">
              <w:rPr>
                <w:noProof/>
                <w:webHidden/>
                <w:sz w:val="24"/>
                <w:szCs w:val="24"/>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52" w:history="1">
            <w:r w:rsidR="00C11169" w:rsidRPr="00C11169">
              <w:rPr>
                <w:rStyle w:val="Lienhypertexte"/>
                <w:noProof/>
                <w:sz w:val="24"/>
                <w:szCs w:val="24"/>
              </w:rPr>
              <w:t>Normes prudentielles</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_Toc357431352 \h </w:instrText>
            </w:r>
            <w:r w:rsidRPr="00C11169">
              <w:rPr>
                <w:noProof/>
                <w:webHidden/>
                <w:sz w:val="24"/>
                <w:szCs w:val="24"/>
              </w:rPr>
            </w:r>
            <w:r w:rsidRPr="00C11169">
              <w:rPr>
                <w:noProof/>
                <w:webHidden/>
                <w:sz w:val="24"/>
                <w:szCs w:val="24"/>
              </w:rPr>
              <w:fldChar w:fldCharType="separate"/>
            </w:r>
            <w:r w:rsidR="002E32C1">
              <w:rPr>
                <w:noProof/>
                <w:webHidden/>
                <w:sz w:val="24"/>
                <w:szCs w:val="24"/>
              </w:rPr>
              <w:t>6</w:t>
            </w:r>
            <w:r w:rsidRPr="00C11169">
              <w:rPr>
                <w:noProof/>
                <w:webHidden/>
                <w:sz w:val="24"/>
                <w:szCs w:val="24"/>
              </w:rPr>
              <w:fldChar w:fldCharType="end"/>
            </w:r>
          </w:hyperlink>
        </w:p>
        <w:p w:rsidR="00C11169" w:rsidRPr="00C11169" w:rsidRDefault="004537AF">
          <w:pPr>
            <w:pStyle w:val="TM2"/>
            <w:tabs>
              <w:tab w:val="right" w:leader="dot" w:pos="9062"/>
            </w:tabs>
            <w:rPr>
              <w:rFonts w:eastAsiaTheme="minorEastAsia"/>
              <w:noProof/>
              <w:sz w:val="24"/>
              <w:szCs w:val="24"/>
              <w:lang w:eastAsia="fr-FR"/>
            </w:rPr>
          </w:pPr>
          <w:hyperlink w:anchor="_Toc357431353" w:history="1">
            <w:r w:rsidR="00D21559">
              <w:rPr>
                <w:rStyle w:val="Lienhypertexte"/>
                <w:noProof/>
                <w:sz w:val="24"/>
                <w:szCs w:val="24"/>
              </w:rPr>
              <w:t>Principaux indicateurs d’activité</w:t>
            </w:r>
            <w:r w:rsidR="00D21559" w:rsidRPr="00C11169">
              <w:rPr>
                <w:rStyle w:val="Lienhypertexte"/>
                <w:noProof/>
                <w:sz w:val="24"/>
                <w:szCs w:val="24"/>
              </w:rPr>
              <w:t xml:space="preserve"> du secteur bancaire au </w:t>
            </w:r>
            <w:r w:rsidR="00C11169" w:rsidRPr="00C11169">
              <w:rPr>
                <w:rStyle w:val="Lienhypertexte"/>
                <w:noProof/>
                <w:sz w:val="24"/>
                <w:szCs w:val="24"/>
              </w:rPr>
              <w:t>31/03/2013  (en Millions de BIF)</w:t>
            </w:r>
            <w:r w:rsidR="00C11169" w:rsidRPr="00C11169">
              <w:rPr>
                <w:noProof/>
                <w:webHidden/>
                <w:sz w:val="24"/>
                <w:szCs w:val="24"/>
              </w:rPr>
              <w:tab/>
            </w:r>
            <w:r w:rsidRPr="00C11169">
              <w:rPr>
                <w:noProof/>
                <w:webHidden/>
                <w:sz w:val="24"/>
                <w:szCs w:val="24"/>
              </w:rPr>
              <w:fldChar w:fldCharType="begin"/>
            </w:r>
            <w:r w:rsidR="00C11169" w:rsidRPr="00C11169">
              <w:rPr>
                <w:noProof/>
                <w:webHidden/>
                <w:sz w:val="24"/>
                <w:szCs w:val="24"/>
              </w:rPr>
              <w:instrText xml:space="preserve"> PAGEREF _Toc357431353 \h </w:instrText>
            </w:r>
            <w:r w:rsidRPr="00C11169">
              <w:rPr>
                <w:noProof/>
                <w:webHidden/>
                <w:sz w:val="24"/>
                <w:szCs w:val="24"/>
              </w:rPr>
            </w:r>
            <w:r w:rsidRPr="00C11169">
              <w:rPr>
                <w:noProof/>
                <w:webHidden/>
                <w:sz w:val="24"/>
                <w:szCs w:val="24"/>
              </w:rPr>
              <w:fldChar w:fldCharType="separate"/>
            </w:r>
            <w:r w:rsidR="002E32C1">
              <w:rPr>
                <w:noProof/>
                <w:webHidden/>
                <w:sz w:val="24"/>
                <w:szCs w:val="24"/>
              </w:rPr>
              <w:t>7</w:t>
            </w:r>
            <w:r w:rsidRPr="00C11169">
              <w:rPr>
                <w:noProof/>
                <w:webHidden/>
                <w:sz w:val="24"/>
                <w:szCs w:val="24"/>
              </w:rPr>
              <w:fldChar w:fldCharType="end"/>
            </w:r>
          </w:hyperlink>
        </w:p>
        <w:p w:rsidR="00C11169" w:rsidRPr="00D21559" w:rsidRDefault="004537AF" w:rsidP="00D21559">
          <w:pPr>
            <w:pStyle w:val="TM1"/>
            <w:rPr>
              <w:rFonts w:eastAsiaTheme="minorEastAsia"/>
              <w:lang w:eastAsia="fr-FR"/>
            </w:rPr>
          </w:pPr>
          <w:hyperlink w:anchor="_Toc357431355" w:history="1">
            <w:r w:rsidR="00C11169" w:rsidRPr="00D21559">
              <w:rPr>
                <w:rStyle w:val="Lienhypertexte"/>
              </w:rPr>
              <w:t>ANNEXE 1 : PRINCIPAUX INDICATEURS MENSUELS</w:t>
            </w:r>
            <w:r w:rsidR="00C11169" w:rsidRPr="00D21559">
              <w:rPr>
                <w:webHidden/>
              </w:rPr>
              <w:tab/>
            </w:r>
            <w:r w:rsidRPr="00D21559">
              <w:rPr>
                <w:webHidden/>
              </w:rPr>
              <w:fldChar w:fldCharType="begin"/>
            </w:r>
            <w:r w:rsidR="00C11169" w:rsidRPr="00D21559">
              <w:rPr>
                <w:webHidden/>
              </w:rPr>
              <w:instrText xml:space="preserve"> PAGEREF _Toc357431355 \h </w:instrText>
            </w:r>
            <w:r w:rsidRPr="00D21559">
              <w:rPr>
                <w:webHidden/>
              </w:rPr>
            </w:r>
            <w:r w:rsidRPr="00D21559">
              <w:rPr>
                <w:webHidden/>
              </w:rPr>
              <w:fldChar w:fldCharType="separate"/>
            </w:r>
            <w:r w:rsidR="002E32C1">
              <w:rPr>
                <w:webHidden/>
              </w:rPr>
              <w:t>8</w:t>
            </w:r>
            <w:r w:rsidRPr="00D21559">
              <w:rPr>
                <w:webHidden/>
              </w:rPr>
              <w:fldChar w:fldCharType="end"/>
            </w:r>
          </w:hyperlink>
        </w:p>
        <w:p w:rsidR="00C11169" w:rsidRPr="00D21559" w:rsidRDefault="004537AF" w:rsidP="00D21559">
          <w:pPr>
            <w:pStyle w:val="TM1"/>
            <w:rPr>
              <w:rFonts w:eastAsiaTheme="minorEastAsia"/>
              <w:lang w:eastAsia="fr-FR"/>
            </w:rPr>
          </w:pPr>
          <w:hyperlink w:anchor="_Toc357431356" w:history="1">
            <w:r w:rsidR="00C11169" w:rsidRPr="00D21559">
              <w:rPr>
                <w:rStyle w:val="Lienhypertexte"/>
              </w:rPr>
              <w:t>ANNEXE 2 : PRINCIPAUX INDICATEURS ANNUELS</w:t>
            </w:r>
            <w:r w:rsidR="00C11169" w:rsidRPr="00D21559">
              <w:rPr>
                <w:webHidden/>
              </w:rPr>
              <w:tab/>
            </w:r>
            <w:r w:rsidRPr="00D21559">
              <w:rPr>
                <w:webHidden/>
              </w:rPr>
              <w:fldChar w:fldCharType="begin"/>
            </w:r>
            <w:r w:rsidR="00C11169" w:rsidRPr="00D21559">
              <w:rPr>
                <w:webHidden/>
              </w:rPr>
              <w:instrText xml:space="preserve"> PAGEREF _Toc357431356 \h </w:instrText>
            </w:r>
            <w:r w:rsidRPr="00D21559">
              <w:rPr>
                <w:webHidden/>
              </w:rPr>
            </w:r>
            <w:r w:rsidRPr="00D21559">
              <w:rPr>
                <w:webHidden/>
              </w:rPr>
              <w:fldChar w:fldCharType="separate"/>
            </w:r>
            <w:r w:rsidR="002E32C1">
              <w:rPr>
                <w:webHidden/>
              </w:rPr>
              <w:t>9</w:t>
            </w:r>
            <w:r w:rsidRPr="00D21559">
              <w:rPr>
                <w:webHidden/>
              </w:rPr>
              <w:fldChar w:fldCharType="end"/>
            </w:r>
          </w:hyperlink>
        </w:p>
        <w:p w:rsidR="00C11169" w:rsidRPr="00C11169" w:rsidRDefault="004537AF">
          <w:pPr>
            <w:rPr>
              <w:sz w:val="24"/>
              <w:szCs w:val="24"/>
            </w:rPr>
          </w:pPr>
          <w:r w:rsidRPr="00C11169">
            <w:rPr>
              <w:sz w:val="24"/>
              <w:szCs w:val="24"/>
            </w:rPr>
            <w:fldChar w:fldCharType="end"/>
          </w:r>
        </w:p>
      </w:sdtContent>
    </w:sdt>
    <w:p w:rsidR="00C11169" w:rsidRPr="00C11169" w:rsidRDefault="00C11169" w:rsidP="004133A6">
      <w:pPr>
        <w:jc w:val="both"/>
        <w:rPr>
          <w:rFonts w:cs="Arial"/>
          <w:b/>
          <w:bCs/>
          <w:color w:val="00B0F0"/>
          <w:sz w:val="24"/>
          <w:szCs w:val="24"/>
        </w:rPr>
        <w:sectPr w:rsidR="00C11169" w:rsidRPr="00C11169" w:rsidSect="00561032">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4133A6" w:rsidRPr="00C11169" w:rsidRDefault="004133A6" w:rsidP="00BC759B">
      <w:pPr>
        <w:pStyle w:val="Titre1"/>
        <w:spacing w:after="120"/>
        <w:rPr>
          <w:rFonts w:asciiTheme="minorHAnsi" w:hAnsiTheme="minorHAnsi"/>
          <w:sz w:val="24"/>
          <w:szCs w:val="24"/>
        </w:rPr>
      </w:pPr>
      <w:bookmarkStart w:id="0" w:name="_Toc357154645"/>
      <w:bookmarkStart w:id="1" w:name="_Toc357431327"/>
      <w:r w:rsidRPr="00C11169">
        <w:rPr>
          <w:rFonts w:asciiTheme="minorHAnsi" w:hAnsiTheme="minorHAnsi"/>
          <w:sz w:val="24"/>
          <w:szCs w:val="24"/>
        </w:rPr>
        <w:lastRenderedPageBreak/>
        <w:t>I. INTRODUCTION</w:t>
      </w:r>
      <w:bookmarkEnd w:id="0"/>
      <w:bookmarkEnd w:id="1"/>
    </w:p>
    <w:p w:rsidR="00BC759B" w:rsidRDefault="004133A6" w:rsidP="00BC759B">
      <w:pPr>
        <w:widowControl w:val="0"/>
        <w:autoSpaceDE w:val="0"/>
        <w:autoSpaceDN w:val="0"/>
        <w:adjustRightInd w:val="0"/>
        <w:spacing w:after="120"/>
        <w:jc w:val="both"/>
        <w:rPr>
          <w:rFonts w:cs="Calibri"/>
          <w:sz w:val="24"/>
          <w:szCs w:val="24"/>
        </w:rPr>
      </w:pPr>
      <w:r w:rsidRPr="00C11169">
        <w:rPr>
          <w:rFonts w:cs="Calibri"/>
          <w:sz w:val="24"/>
          <w:szCs w:val="24"/>
        </w:rPr>
        <w:t>Le commentaire sur les principaux indicateurs économiques porte sur l’évolution, à fin mars 2013, de la production industrielle, du café, du thé, de l’indice des prix à la consommation et la situation des finances publiques en ce qui concerne les recettes, les dépenses et la dette publique extérieure et intérieure. Il aborde aussi l’évolution de la masse monétaire et ses contreparties, les exportations, les importations</w:t>
      </w:r>
      <w:r w:rsidR="00D03B2A">
        <w:rPr>
          <w:rFonts w:cs="Calibri"/>
          <w:sz w:val="24"/>
          <w:szCs w:val="24"/>
        </w:rPr>
        <w:t>, le</w:t>
      </w:r>
      <w:r w:rsidRPr="00C11169">
        <w:rPr>
          <w:rFonts w:cs="Calibri"/>
          <w:sz w:val="24"/>
          <w:szCs w:val="24"/>
        </w:rPr>
        <w:t xml:space="preserve">  taux de change</w:t>
      </w:r>
      <w:r w:rsidR="00D03B2A">
        <w:rPr>
          <w:rFonts w:cs="Calibri"/>
          <w:sz w:val="24"/>
          <w:szCs w:val="24"/>
        </w:rPr>
        <w:t xml:space="preserve"> </w:t>
      </w:r>
      <w:r w:rsidR="00C351CC">
        <w:rPr>
          <w:rFonts w:cs="Calibri"/>
          <w:sz w:val="24"/>
          <w:szCs w:val="24"/>
        </w:rPr>
        <w:t xml:space="preserve">et </w:t>
      </w:r>
      <w:r w:rsidR="00D03B2A">
        <w:rPr>
          <w:rFonts w:cs="Calibri"/>
          <w:sz w:val="24"/>
          <w:szCs w:val="24"/>
        </w:rPr>
        <w:t>les indicateurs d’activité du secteur bancaire</w:t>
      </w:r>
      <w:r w:rsidRPr="00C11169">
        <w:rPr>
          <w:rFonts w:cs="Calibri"/>
          <w:sz w:val="24"/>
          <w:szCs w:val="24"/>
        </w:rPr>
        <w:t>.</w:t>
      </w:r>
      <w:bookmarkStart w:id="2" w:name="_Toc357154646"/>
      <w:bookmarkStart w:id="3" w:name="_Toc357431328"/>
    </w:p>
    <w:p w:rsidR="004133A6" w:rsidRPr="00BC759B" w:rsidRDefault="004133A6" w:rsidP="00BC759B">
      <w:pPr>
        <w:widowControl w:val="0"/>
        <w:autoSpaceDE w:val="0"/>
        <w:autoSpaceDN w:val="0"/>
        <w:adjustRightInd w:val="0"/>
        <w:spacing w:after="120"/>
        <w:jc w:val="both"/>
        <w:rPr>
          <w:b/>
          <w:color w:val="0070C0"/>
          <w:sz w:val="24"/>
          <w:szCs w:val="24"/>
        </w:rPr>
      </w:pPr>
      <w:r w:rsidRPr="00BC759B">
        <w:rPr>
          <w:b/>
          <w:color w:val="0070C0"/>
          <w:sz w:val="24"/>
          <w:szCs w:val="24"/>
        </w:rPr>
        <w:t>II. PRODUCTION</w:t>
      </w:r>
      <w:bookmarkEnd w:id="2"/>
      <w:bookmarkEnd w:id="3"/>
      <w:r w:rsidRPr="00BC759B">
        <w:rPr>
          <w:b/>
          <w:color w:val="0070C0"/>
          <w:sz w:val="24"/>
          <w:szCs w:val="24"/>
        </w:rPr>
        <w:tab/>
      </w:r>
    </w:p>
    <w:p w:rsidR="004133A6" w:rsidRPr="00C11169" w:rsidRDefault="004133A6" w:rsidP="00BC759B">
      <w:pPr>
        <w:pStyle w:val="Titre2"/>
        <w:spacing w:after="120"/>
        <w:rPr>
          <w:rFonts w:asciiTheme="minorHAnsi" w:hAnsiTheme="minorHAnsi"/>
          <w:sz w:val="24"/>
          <w:szCs w:val="24"/>
        </w:rPr>
      </w:pPr>
      <w:bookmarkStart w:id="4" w:name="_Toc357154647"/>
      <w:bookmarkStart w:id="5" w:name="_Toc357430869"/>
      <w:bookmarkStart w:id="6" w:name="_Toc357431329"/>
      <w:r w:rsidRPr="00C11169">
        <w:rPr>
          <w:rFonts w:asciiTheme="minorHAnsi" w:hAnsiTheme="minorHAnsi"/>
          <w:sz w:val="24"/>
          <w:szCs w:val="24"/>
        </w:rPr>
        <w:t>Indice de la production industrielle</w:t>
      </w:r>
      <w:bookmarkEnd w:id="4"/>
      <w:bookmarkEnd w:id="5"/>
      <w:bookmarkEnd w:id="6"/>
      <w:r w:rsidRPr="00C11169">
        <w:rPr>
          <w:rFonts w:asciiTheme="minorHAnsi" w:hAnsiTheme="minorHAnsi"/>
          <w:sz w:val="24"/>
          <w:szCs w:val="24"/>
        </w:rPr>
        <w:tab/>
        <w:t xml:space="preserve"> </w:t>
      </w:r>
    </w:p>
    <w:p w:rsidR="004133A6" w:rsidRPr="00C11169" w:rsidRDefault="004133A6" w:rsidP="007C78DB">
      <w:pPr>
        <w:spacing w:after="120"/>
        <w:jc w:val="both"/>
        <w:rPr>
          <w:rFonts w:cs="Calibri"/>
          <w:sz w:val="24"/>
          <w:szCs w:val="24"/>
        </w:rPr>
      </w:pPr>
      <w:r w:rsidRPr="00C11169">
        <w:rPr>
          <w:rFonts w:cs="Calibri"/>
          <w:sz w:val="24"/>
          <w:szCs w:val="24"/>
        </w:rPr>
        <w:t xml:space="preserve">La production industrielle du mois de mars s’est inscrite en hausse par rapport à celle du mois précédent. En effet, l’indice de la production industrielle a augmenté de 8,1 p.c., passant de 92,2 à 99,7 sous l’effet de l’accroissement de la production de boissons de la BRARUDI (2,8 p.c.) et de la fabrication de cigarettes (+34,9 p.c.). </w:t>
      </w:r>
    </w:p>
    <w:p w:rsidR="004133A6" w:rsidRPr="00C11169" w:rsidRDefault="004133A6" w:rsidP="007C78DB">
      <w:pPr>
        <w:widowControl w:val="0"/>
        <w:autoSpaceDE w:val="0"/>
        <w:autoSpaceDN w:val="0"/>
        <w:adjustRightInd w:val="0"/>
        <w:spacing w:after="120"/>
        <w:jc w:val="both"/>
        <w:rPr>
          <w:rFonts w:cs="Calibri"/>
          <w:sz w:val="24"/>
          <w:szCs w:val="24"/>
        </w:rPr>
      </w:pPr>
      <w:r w:rsidRPr="00C11169">
        <w:rPr>
          <w:rFonts w:cs="Calibri"/>
          <w:sz w:val="24"/>
          <w:szCs w:val="24"/>
        </w:rPr>
        <w:t>En glissement annuel, l’indice a également progressé de 2,3  p.c. en rapport principalement avec l’augmentation de la production de boisons de la BRARUDI (4,8 p.c.).</w:t>
      </w:r>
    </w:p>
    <w:p w:rsidR="004133A6" w:rsidRPr="00C11169" w:rsidRDefault="004133A6" w:rsidP="00C11169">
      <w:pPr>
        <w:pStyle w:val="Titre3"/>
        <w:rPr>
          <w:rFonts w:asciiTheme="minorHAnsi" w:hAnsiTheme="minorHAnsi"/>
          <w:sz w:val="24"/>
          <w:szCs w:val="24"/>
        </w:rPr>
      </w:pPr>
      <w:bookmarkStart w:id="7" w:name="_Toc357154648"/>
      <w:bookmarkStart w:id="8" w:name="_Toc357430870"/>
      <w:bookmarkStart w:id="9" w:name="_Toc357431330"/>
      <w:r w:rsidRPr="00C11169">
        <w:rPr>
          <w:rFonts w:asciiTheme="minorHAnsi" w:hAnsiTheme="minorHAnsi"/>
          <w:sz w:val="24"/>
          <w:szCs w:val="24"/>
        </w:rPr>
        <w:t>Café</w:t>
      </w:r>
      <w:bookmarkEnd w:id="7"/>
      <w:bookmarkEnd w:id="8"/>
      <w:bookmarkEnd w:id="9"/>
      <w:r w:rsidRPr="00C11169">
        <w:rPr>
          <w:rFonts w:asciiTheme="minorHAnsi" w:hAnsiTheme="minorHAnsi"/>
          <w:sz w:val="24"/>
          <w:szCs w:val="24"/>
        </w:rPr>
        <w:tab/>
      </w:r>
    </w:p>
    <w:p w:rsidR="004133A6" w:rsidRPr="00C11169" w:rsidRDefault="004133A6" w:rsidP="007C78DB">
      <w:pPr>
        <w:spacing w:after="120"/>
        <w:jc w:val="both"/>
        <w:rPr>
          <w:rFonts w:cs="Calibri"/>
          <w:sz w:val="24"/>
          <w:szCs w:val="24"/>
        </w:rPr>
      </w:pPr>
      <w:r w:rsidRPr="00C11169">
        <w:rPr>
          <w:rFonts w:cs="Calibri"/>
          <w:sz w:val="24"/>
          <w:szCs w:val="24"/>
        </w:rPr>
        <w:t xml:space="preserve">A fin mars 2013, les apports de café Arabica en </w:t>
      </w:r>
      <w:proofErr w:type="spellStart"/>
      <w:r w:rsidRPr="00C11169">
        <w:rPr>
          <w:rFonts w:cs="Calibri"/>
          <w:sz w:val="24"/>
          <w:szCs w:val="24"/>
        </w:rPr>
        <w:t>parche</w:t>
      </w:r>
      <w:proofErr w:type="spellEnd"/>
      <w:r w:rsidRPr="00C11169">
        <w:rPr>
          <w:rFonts w:cs="Calibri"/>
          <w:sz w:val="24"/>
          <w:szCs w:val="24"/>
        </w:rPr>
        <w:t xml:space="preserve"> de la campagne 2012/2013 se sont clôturés à 30.778 contre 19.240 T à la même période de la campagne précédente, soit une hausse de 11.538 T, ou 60,0 p.c., en rapport avec la cyclicité du caféier.</w:t>
      </w:r>
    </w:p>
    <w:p w:rsidR="00D21559" w:rsidRDefault="00D21559" w:rsidP="00BC759B">
      <w:pPr>
        <w:pStyle w:val="Titre3"/>
        <w:spacing w:after="120"/>
        <w:rPr>
          <w:rFonts w:asciiTheme="minorHAnsi" w:hAnsiTheme="minorHAnsi"/>
          <w:sz w:val="24"/>
          <w:szCs w:val="24"/>
        </w:rPr>
      </w:pPr>
      <w:bookmarkStart w:id="10" w:name="_Toc357154649"/>
      <w:bookmarkStart w:id="11" w:name="_Toc357430871"/>
      <w:bookmarkStart w:id="12" w:name="_Toc357431331"/>
    </w:p>
    <w:p w:rsidR="004133A6" w:rsidRPr="00C11169" w:rsidRDefault="004133A6" w:rsidP="00BC759B">
      <w:pPr>
        <w:pStyle w:val="Titre3"/>
        <w:spacing w:after="120"/>
        <w:rPr>
          <w:rFonts w:asciiTheme="minorHAnsi" w:hAnsiTheme="minorHAnsi"/>
          <w:sz w:val="24"/>
          <w:szCs w:val="24"/>
        </w:rPr>
      </w:pPr>
      <w:r w:rsidRPr="00C11169">
        <w:rPr>
          <w:rFonts w:asciiTheme="minorHAnsi" w:hAnsiTheme="minorHAnsi"/>
          <w:sz w:val="24"/>
          <w:szCs w:val="24"/>
        </w:rPr>
        <w:t>Thé</w:t>
      </w:r>
      <w:bookmarkEnd w:id="10"/>
      <w:bookmarkEnd w:id="11"/>
      <w:bookmarkEnd w:id="12"/>
    </w:p>
    <w:p w:rsidR="00BC759B" w:rsidRDefault="004133A6" w:rsidP="00BC759B">
      <w:pPr>
        <w:spacing w:after="120"/>
        <w:jc w:val="both"/>
        <w:rPr>
          <w:rFonts w:cs="Calibri"/>
          <w:sz w:val="24"/>
          <w:szCs w:val="24"/>
        </w:rPr>
      </w:pPr>
      <w:r w:rsidRPr="00C11169">
        <w:rPr>
          <w:rFonts w:cs="Calibri"/>
          <w:sz w:val="24"/>
          <w:szCs w:val="24"/>
        </w:rPr>
        <w:t>La récolte de thé en feuilles vertes du mois de mars 2013 a reculé  de 8,6 p.c. par rapport au mois précédent, revenant de 4.986 à 4.560 T. En revanche, la production cumulée du premier trimestre 2013 a progressé de 46,1 p.c., passant de 9.900 à 14.459 T en rapport avec la bonne pluviosité et l’application d’engrais.</w:t>
      </w:r>
      <w:bookmarkStart w:id="13" w:name="_Toc357154650"/>
      <w:bookmarkStart w:id="14" w:name="_Toc357431332"/>
    </w:p>
    <w:p w:rsidR="00774C58" w:rsidRPr="00BC759B" w:rsidRDefault="00774C58" w:rsidP="00BC759B">
      <w:pPr>
        <w:spacing w:after="120"/>
        <w:jc w:val="both"/>
        <w:rPr>
          <w:b/>
          <w:color w:val="0070C0"/>
        </w:rPr>
      </w:pPr>
      <w:r w:rsidRPr="00BC759B">
        <w:rPr>
          <w:b/>
          <w:color w:val="0070C0"/>
        </w:rPr>
        <w:t>III. INDICE DES PRIX A LA CONSOMMATON</w:t>
      </w:r>
      <w:bookmarkEnd w:id="13"/>
      <w:bookmarkEnd w:id="14"/>
    </w:p>
    <w:p w:rsidR="00774C58" w:rsidRPr="00C11169" w:rsidRDefault="00774C58" w:rsidP="007C78DB">
      <w:pPr>
        <w:spacing w:after="120"/>
        <w:jc w:val="both"/>
        <w:rPr>
          <w:sz w:val="24"/>
          <w:szCs w:val="24"/>
        </w:rPr>
      </w:pPr>
      <w:r w:rsidRPr="00C11169">
        <w:rPr>
          <w:sz w:val="24"/>
          <w:szCs w:val="24"/>
        </w:rPr>
        <w:t xml:space="preserve">En mars 2013, l’indice des prix à la consommation a connu une légère hausse de 5,9 p.c. contre 24,5 p.c. observée le mois correspondant de 2012 suite à la décélération </w:t>
      </w:r>
      <w:r w:rsidR="00D03B2A">
        <w:rPr>
          <w:sz w:val="24"/>
          <w:szCs w:val="24"/>
        </w:rPr>
        <w:t xml:space="preserve">de l’augmentation </w:t>
      </w:r>
      <w:r w:rsidRPr="00C11169">
        <w:rPr>
          <w:sz w:val="24"/>
          <w:szCs w:val="24"/>
        </w:rPr>
        <w:t>des prix des produits alimentaires (7,3 contre 20,7 p.c.) et non alimentaires (4,3 contre 29,2 p.c.).</w:t>
      </w:r>
    </w:p>
    <w:p w:rsidR="00774C58" w:rsidRPr="00C11169" w:rsidRDefault="00774C58" w:rsidP="007C78DB">
      <w:pPr>
        <w:spacing w:after="120"/>
        <w:jc w:val="both"/>
        <w:rPr>
          <w:sz w:val="24"/>
          <w:szCs w:val="24"/>
        </w:rPr>
      </w:pPr>
      <w:r w:rsidRPr="00C11169">
        <w:rPr>
          <w:sz w:val="24"/>
          <w:szCs w:val="24"/>
        </w:rPr>
        <w:t>L’a</w:t>
      </w:r>
      <w:r w:rsidR="00D03B2A">
        <w:rPr>
          <w:sz w:val="24"/>
          <w:szCs w:val="24"/>
        </w:rPr>
        <w:t>ccroissement</w:t>
      </w:r>
      <w:r w:rsidRPr="00C11169">
        <w:rPr>
          <w:sz w:val="24"/>
          <w:szCs w:val="24"/>
        </w:rPr>
        <w:t xml:space="preserve"> de l’indice alimentation  est liée à la hausse des prix du </w:t>
      </w:r>
      <w:proofErr w:type="spellStart"/>
      <w:r w:rsidRPr="00C11169">
        <w:rPr>
          <w:sz w:val="24"/>
          <w:szCs w:val="24"/>
        </w:rPr>
        <w:t>ndagala</w:t>
      </w:r>
      <w:proofErr w:type="spellEnd"/>
      <w:r w:rsidRPr="00C11169">
        <w:rPr>
          <w:sz w:val="24"/>
          <w:szCs w:val="24"/>
        </w:rPr>
        <w:t xml:space="preserve"> sec (90,9 p.c.), du </w:t>
      </w:r>
      <w:proofErr w:type="spellStart"/>
      <w:r w:rsidRPr="00C11169">
        <w:rPr>
          <w:sz w:val="24"/>
          <w:szCs w:val="24"/>
        </w:rPr>
        <w:t>mukeke</w:t>
      </w:r>
      <w:proofErr w:type="spellEnd"/>
      <w:r w:rsidRPr="00C11169">
        <w:rPr>
          <w:sz w:val="24"/>
          <w:szCs w:val="24"/>
        </w:rPr>
        <w:t xml:space="preserve"> sec (70,9 p.c.), de l’</w:t>
      </w:r>
      <w:proofErr w:type="spellStart"/>
      <w:r w:rsidRPr="00C11169">
        <w:rPr>
          <w:sz w:val="24"/>
          <w:szCs w:val="24"/>
        </w:rPr>
        <w:t>Amstel</w:t>
      </w:r>
      <w:proofErr w:type="spellEnd"/>
      <w:r w:rsidRPr="00C11169">
        <w:rPr>
          <w:sz w:val="24"/>
          <w:szCs w:val="24"/>
        </w:rPr>
        <w:t xml:space="preserve"> (40 p.c.), du haricot sec (28,5 p.c.), de l’huile de palme (23,1 p.c.) et de la viande de bœuf (10,8 p.c.) qui a contrebalancé la baisse des prix des produits alimentaires de base tels que le riz (-7,2 p.c.), le </w:t>
      </w:r>
      <w:proofErr w:type="spellStart"/>
      <w:r w:rsidRPr="00C11169">
        <w:rPr>
          <w:sz w:val="24"/>
          <w:szCs w:val="24"/>
        </w:rPr>
        <w:t>ndagala</w:t>
      </w:r>
      <w:proofErr w:type="spellEnd"/>
      <w:r w:rsidRPr="00C11169">
        <w:rPr>
          <w:sz w:val="24"/>
          <w:szCs w:val="24"/>
        </w:rPr>
        <w:t xml:space="preserve"> frais (-9,9 p.c.), les petits pois verts (-23,1 p.c.), les pommes de terre (-11,0 p.c.), le manioc frais (-27,8 p.c.)</w:t>
      </w:r>
      <w:r w:rsidR="007C78DB" w:rsidRPr="00C11169">
        <w:rPr>
          <w:sz w:val="24"/>
          <w:szCs w:val="24"/>
        </w:rPr>
        <w:t>.</w:t>
      </w:r>
      <w:r w:rsidRPr="00C11169">
        <w:rPr>
          <w:sz w:val="24"/>
          <w:szCs w:val="24"/>
        </w:rPr>
        <w:t xml:space="preserve">  </w:t>
      </w:r>
    </w:p>
    <w:p w:rsidR="00774C58" w:rsidRPr="00C11169" w:rsidRDefault="00774C58" w:rsidP="007C78DB">
      <w:pPr>
        <w:spacing w:after="120"/>
        <w:jc w:val="both"/>
        <w:rPr>
          <w:sz w:val="24"/>
          <w:szCs w:val="24"/>
        </w:rPr>
      </w:pPr>
      <w:r w:rsidRPr="00C11169">
        <w:rPr>
          <w:sz w:val="24"/>
          <w:szCs w:val="24"/>
        </w:rPr>
        <w:t xml:space="preserve">Le niveau de l’indice hors alimentation est </w:t>
      </w:r>
      <w:r w:rsidR="00D03B2A">
        <w:rPr>
          <w:sz w:val="24"/>
          <w:szCs w:val="24"/>
        </w:rPr>
        <w:t xml:space="preserve">consécutif </w:t>
      </w:r>
      <w:r w:rsidRPr="00C11169">
        <w:rPr>
          <w:sz w:val="24"/>
          <w:szCs w:val="24"/>
        </w:rPr>
        <w:t xml:space="preserve">à la décélération </w:t>
      </w:r>
      <w:r w:rsidR="00D03B2A">
        <w:rPr>
          <w:sz w:val="24"/>
          <w:szCs w:val="24"/>
        </w:rPr>
        <w:t xml:space="preserve">de la hausse </w:t>
      </w:r>
      <w:r w:rsidRPr="00C11169">
        <w:rPr>
          <w:sz w:val="24"/>
          <w:szCs w:val="24"/>
        </w:rPr>
        <w:t xml:space="preserve">des prix des produits des secteurs « habillement » (3,4 contre 30,4 p.c.), «  logement, chauffage et éclairage » (4,3 contre 38,7 p.c.) et </w:t>
      </w:r>
      <w:r w:rsidR="00E32C5B" w:rsidRPr="00C11169">
        <w:rPr>
          <w:sz w:val="24"/>
          <w:szCs w:val="24"/>
        </w:rPr>
        <w:t xml:space="preserve">            </w:t>
      </w:r>
      <w:r w:rsidRPr="00C11169">
        <w:rPr>
          <w:sz w:val="24"/>
          <w:szCs w:val="24"/>
        </w:rPr>
        <w:t>«autres biens et services»  (</w:t>
      </w:r>
      <w:r w:rsidR="00026A42" w:rsidRPr="00C11169">
        <w:rPr>
          <w:sz w:val="24"/>
          <w:szCs w:val="24"/>
        </w:rPr>
        <w:t>8,2</w:t>
      </w:r>
      <w:r w:rsidRPr="00C11169">
        <w:rPr>
          <w:sz w:val="24"/>
          <w:szCs w:val="24"/>
        </w:rPr>
        <w:t xml:space="preserve"> contre</w:t>
      </w:r>
      <w:r w:rsidR="00E32C5B" w:rsidRPr="00C11169">
        <w:rPr>
          <w:sz w:val="24"/>
          <w:szCs w:val="24"/>
        </w:rPr>
        <w:t xml:space="preserve"> </w:t>
      </w:r>
      <w:r w:rsidRPr="00C11169">
        <w:rPr>
          <w:sz w:val="24"/>
          <w:szCs w:val="24"/>
        </w:rPr>
        <w:t xml:space="preserve"> </w:t>
      </w:r>
      <w:r w:rsidR="00026A42" w:rsidRPr="00C11169">
        <w:rPr>
          <w:sz w:val="24"/>
          <w:szCs w:val="24"/>
        </w:rPr>
        <w:t>22,7</w:t>
      </w:r>
      <w:r w:rsidRPr="00C11169">
        <w:rPr>
          <w:sz w:val="24"/>
          <w:szCs w:val="24"/>
        </w:rPr>
        <w:t xml:space="preserve"> p.c.).</w:t>
      </w:r>
    </w:p>
    <w:p w:rsidR="00774C58" w:rsidRPr="00C11169" w:rsidRDefault="00774C58" w:rsidP="007C78DB">
      <w:pPr>
        <w:spacing w:after="240"/>
        <w:jc w:val="both"/>
        <w:rPr>
          <w:sz w:val="24"/>
          <w:szCs w:val="24"/>
        </w:rPr>
      </w:pPr>
      <w:r w:rsidRPr="00C11169">
        <w:rPr>
          <w:sz w:val="24"/>
          <w:szCs w:val="24"/>
        </w:rPr>
        <w:lastRenderedPageBreak/>
        <w:t xml:space="preserve">Par rapport au mois de février 2013, </w:t>
      </w:r>
      <w:r w:rsidR="00D03B2A">
        <w:rPr>
          <w:sz w:val="24"/>
          <w:szCs w:val="24"/>
        </w:rPr>
        <w:t xml:space="preserve">la progression de </w:t>
      </w:r>
      <w:r w:rsidRPr="00C11169">
        <w:rPr>
          <w:sz w:val="24"/>
          <w:szCs w:val="24"/>
        </w:rPr>
        <w:t>l’indice général s’est décéléré</w:t>
      </w:r>
      <w:r w:rsidR="00D03B2A">
        <w:rPr>
          <w:sz w:val="24"/>
          <w:szCs w:val="24"/>
        </w:rPr>
        <w:t>e</w:t>
      </w:r>
      <w:r w:rsidRPr="00C11169">
        <w:rPr>
          <w:sz w:val="24"/>
          <w:szCs w:val="24"/>
        </w:rPr>
        <w:t xml:space="preserve"> (0,2 contre 2,2 p.c.) suite à la hausse des prix du secteur « alimentation » (0,2 p.c.) partiellement contrebalancée par la désinflation du secteur « hors alimentation » (-1,9 p.c.).</w:t>
      </w:r>
    </w:p>
    <w:bookmarkStart w:id="15" w:name="_MON_1430895085"/>
    <w:bookmarkEnd w:id="15"/>
    <w:p w:rsidR="00777F5A" w:rsidRPr="00C11169" w:rsidRDefault="00777F5A" w:rsidP="00777F5A">
      <w:pPr>
        <w:spacing w:after="0"/>
        <w:jc w:val="both"/>
        <w:rPr>
          <w:sz w:val="24"/>
          <w:szCs w:val="24"/>
        </w:rPr>
      </w:pPr>
      <w:r w:rsidRPr="00C11169">
        <w:rPr>
          <w:sz w:val="24"/>
          <w:szCs w:val="24"/>
        </w:rPr>
        <w:object w:dxaOrig="10140" w:dyaOrig="3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65pt;height:151.35pt" o:ole="">
            <v:imagedata r:id="rId11" o:title=""/>
          </v:shape>
          <o:OLEObject Type="Embed" ProgID="Excel.Sheet.8" ShapeID="_x0000_i1025" DrawAspect="Content" ObjectID="_1432012898" r:id="rId12"/>
        </w:object>
      </w:r>
      <w:bookmarkStart w:id="16" w:name="_Toc357154651"/>
    </w:p>
    <w:p w:rsidR="00AD03D6" w:rsidRPr="00C11169" w:rsidRDefault="00AD03D6" w:rsidP="00777F5A">
      <w:pPr>
        <w:spacing w:after="120"/>
        <w:jc w:val="both"/>
        <w:rPr>
          <w:sz w:val="24"/>
          <w:szCs w:val="24"/>
        </w:rPr>
      </w:pPr>
    </w:p>
    <w:p w:rsidR="004133A6" w:rsidRPr="00BC759B" w:rsidRDefault="004133A6" w:rsidP="00C11169">
      <w:pPr>
        <w:pStyle w:val="Titre1"/>
        <w:rPr>
          <w:rFonts w:asciiTheme="minorHAnsi" w:hAnsiTheme="minorHAnsi"/>
          <w:color w:val="0070C0"/>
          <w:sz w:val="24"/>
          <w:szCs w:val="24"/>
        </w:rPr>
      </w:pPr>
      <w:bookmarkStart w:id="17" w:name="_Toc357431333"/>
      <w:r w:rsidRPr="00BC759B">
        <w:rPr>
          <w:rFonts w:asciiTheme="minorHAnsi" w:hAnsiTheme="minorHAnsi"/>
          <w:color w:val="0070C0"/>
          <w:sz w:val="24"/>
          <w:szCs w:val="24"/>
        </w:rPr>
        <w:t>IV. FINANCES PUBLIQUES</w:t>
      </w:r>
      <w:bookmarkEnd w:id="16"/>
      <w:bookmarkEnd w:id="17"/>
    </w:p>
    <w:p w:rsidR="004133A6" w:rsidRPr="00C11169" w:rsidRDefault="004133A6" w:rsidP="00C11169">
      <w:pPr>
        <w:pStyle w:val="Titre2"/>
        <w:spacing w:after="120"/>
        <w:rPr>
          <w:rFonts w:asciiTheme="minorHAnsi" w:hAnsiTheme="minorHAnsi"/>
          <w:sz w:val="24"/>
          <w:szCs w:val="24"/>
        </w:rPr>
      </w:pPr>
      <w:bookmarkStart w:id="18" w:name="_Toc357154652"/>
      <w:bookmarkStart w:id="19" w:name="_Toc357430872"/>
      <w:bookmarkStart w:id="20" w:name="_Toc357431334"/>
      <w:r w:rsidRPr="00BC759B">
        <w:rPr>
          <w:rFonts w:asciiTheme="minorHAnsi" w:hAnsiTheme="minorHAnsi"/>
          <w:color w:val="0070C0"/>
          <w:sz w:val="24"/>
          <w:szCs w:val="24"/>
        </w:rPr>
        <w:t>Recettes</w:t>
      </w:r>
      <w:bookmarkEnd w:id="18"/>
      <w:bookmarkEnd w:id="19"/>
      <w:bookmarkEnd w:id="20"/>
      <w:r w:rsidRPr="00C11169">
        <w:rPr>
          <w:rFonts w:asciiTheme="minorHAnsi" w:hAnsiTheme="minorHAnsi"/>
          <w:sz w:val="24"/>
          <w:szCs w:val="24"/>
        </w:rPr>
        <w:t xml:space="preserve"> </w:t>
      </w:r>
    </w:p>
    <w:p w:rsidR="004133A6" w:rsidRPr="00C11169" w:rsidRDefault="004133A6" w:rsidP="007C78DB">
      <w:pPr>
        <w:spacing w:after="120"/>
        <w:jc w:val="both"/>
        <w:rPr>
          <w:sz w:val="24"/>
          <w:szCs w:val="24"/>
        </w:rPr>
      </w:pPr>
      <w:r w:rsidRPr="00C11169">
        <w:rPr>
          <w:sz w:val="24"/>
          <w:szCs w:val="24"/>
        </w:rPr>
        <w:t xml:space="preserve">A fin Mars 2013, les recettes du budget consolidé de l’Etat se sont </w:t>
      </w:r>
      <w:r w:rsidR="00D03B2A">
        <w:rPr>
          <w:sz w:val="24"/>
          <w:szCs w:val="24"/>
        </w:rPr>
        <w:t>établies</w:t>
      </w:r>
      <w:r w:rsidRPr="00C11169">
        <w:rPr>
          <w:sz w:val="24"/>
          <w:szCs w:val="24"/>
        </w:rPr>
        <w:t xml:space="preserve"> à 144.925,2 contre 147.278,3 MBIF à la période correspondante de l’année précédente, soit une baisse de 2.353,1 MBIF</w:t>
      </w:r>
      <w:r w:rsidR="00D03B2A">
        <w:rPr>
          <w:sz w:val="24"/>
          <w:szCs w:val="24"/>
        </w:rPr>
        <w:t xml:space="preserve"> </w:t>
      </w:r>
      <w:r w:rsidRPr="00C11169">
        <w:rPr>
          <w:sz w:val="24"/>
          <w:szCs w:val="24"/>
        </w:rPr>
        <w:t>en liaison avec la régression des recettes fiscales (-2.802,1 MBIF) et non fiscales (-903,9 MBIF), partiellement atténuée par la hausse des recettes exceptionnelles (+1.352,9 MBIF). Cette mauvaise performance serait due à la nouvelle loi sur les revenus qui a réduit l’impôt sur les rémunérations (IPR) et à l’incendie du marché central de Bujumbura</w:t>
      </w:r>
      <w:r w:rsidR="00D03B2A">
        <w:rPr>
          <w:sz w:val="24"/>
          <w:szCs w:val="24"/>
        </w:rPr>
        <w:t xml:space="preserve"> qui a entraîné le ralentissement de l’activité économique.</w:t>
      </w:r>
    </w:p>
    <w:p w:rsidR="004133A6" w:rsidRPr="00C11169" w:rsidRDefault="004133A6" w:rsidP="007C78DB">
      <w:pPr>
        <w:spacing w:after="120"/>
        <w:jc w:val="both"/>
        <w:rPr>
          <w:sz w:val="24"/>
          <w:szCs w:val="24"/>
        </w:rPr>
      </w:pPr>
      <w:r w:rsidRPr="00C11169">
        <w:rPr>
          <w:sz w:val="24"/>
          <w:szCs w:val="24"/>
        </w:rPr>
        <w:t xml:space="preserve">D’un mois à l’autre, les recettes du mois de mars 2013 ont augmenté de 16.549,4 MBIF passant de 34.914,5 à 51.464,0 </w:t>
      </w:r>
      <w:r w:rsidRPr="00C11169">
        <w:rPr>
          <w:sz w:val="24"/>
          <w:szCs w:val="24"/>
        </w:rPr>
        <w:lastRenderedPageBreak/>
        <w:t xml:space="preserve">MBIF. Cet accroissement est principalement expliqué par la hausse des recettes fiscales (+14.683,3 MBIF), situation observée tous les mois de mars </w:t>
      </w:r>
      <w:r w:rsidR="002F26E3">
        <w:rPr>
          <w:sz w:val="24"/>
          <w:szCs w:val="24"/>
        </w:rPr>
        <w:t xml:space="preserve">en liaison </w:t>
      </w:r>
      <w:r w:rsidRPr="00C11169">
        <w:rPr>
          <w:sz w:val="24"/>
          <w:szCs w:val="24"/>
        </w:rPr>
        <w:t xml:space="preserve">avec </w:t>
      </w:r>
      <w:r w:rsidR="002F26E3">
        <w:rPr>
          <w:sz w:val="24"/>
          <w:szCs w:val="24"/>
        </w:rPr>
        <w:t>l’encaissement</w:t>
      </w:r>
      <w:r w:rsidRPr="00C11169">
        <w:rPr>
          <w:sz w:val="24"/>
          <w:szCs w:val="24"/>
        </w:rPr>
        <w:t xml:space="preserve"> de l’impôt sur les revenus des sociétés.</w:t>
      </w:r>
    </w:p>
    <w:p w:rsidR="004133A6" w:rsidRPr="00C11169" w:rsidRDefault="004133A6" w:rsidP="00BC759B">
      <w:pPr>
        <w:pStyle w:val="Titre2"/>
        <w:spacing w:after="120"/>
        <w:rPr>
          <w:rFonts w:asciiTheme="minorHAnsi" w:hAnsiTheme="minorHAnsi"/>
          <w:sz w:val="24"/>
          <w:szCs w:val="24"/>
        </w:rPr>
      </w:pPr>
      <w:bookmarkStart w:id="21" w:name="_Toc357430873"/>
      <w:bookmarkStart w:id="22" w:name="_Toc357431335"/>
      <w:r w:rsidRPr="00C11169">
        <w:rPr>
          <w:rFonts w:asciiTheme="minorHAnsi" w:hAnsiTheme="minorHAnsi"/>
          <w:sz w:val="24"/>
          <w:szCs w:val="24"/>
        </w:rPr>
        <w:t>Dépenses</w:t>
      </w:r>
      <w:bookmarkEnd w:id="21"/>
      <w:bookmarkEnd w:id="22"/>
    </w:p>
    <w:p w:rsidR="004133A6" w:rsidRPr="00C11169" w:rsidRDefault="004133A6" w:rsidP="007C78DB">
      <w:pPr>
        <w:spacing w:after="120"/>
        <w:jc w:val="both"/>
        <w:rPr>
          <w:sz w:val="24"/>
          <w:szCs w:val="24"/>
        </w:rPr>
      </w:pPr>
      <w:r w:rsidRPr="00C11169">
        <w:rPr>
          <w:sz w:val="24"/>
          <w:szCs w:val="24"/>
        </w:rPr>
        <w:t xml:space="preserve">Par rapport à mars 2012, les dépenses de personnel du mois de mars 2013 ont augmenté  de 2.160,8 MBIF,  passant  de 66.909,8 à 69.070,6 MBIF </w:t>
      </w:r>
      <w:r w:rsidR="00C351CC">
        <w:rPr>
          <w:sz w:val="24"/>
          <w:szCs w:val="24"/>
        </w:rPr>
        <w:t>en</w:t>
      </w:r>
      <w:r w:rsidR="002F26E3">
        <w:rPr>
          <w:sz w:val="24"/>
          <w:szCs w:val="24"/>
        </w:rPr>
        <w:t xml:space="preserve"> rapport</w:t>
      </w:r>
      <w:r w:rsidRPr="00C11169">
        <w:rPr>
          <w:sz w:val="24"/>
          <w:szCs w:val="24"/>
        </w:rPr>
        <w:t xml:space="preserve"> avec l’augmentation des dépenses de personnel dans le budget de l’Etat de 2013. </w:t>
      </w:r>
    </w:p>
    <w:p w:rsidR="004133A6" w:rsidRPr="00C11169" w:rsidRDefault="004133A6" w:rsidP="00C11169">
      <w:pPr>
        <w:pStyle w:val="Titre2"/>
        <w:spacing w:after="120"/>
        <w:rPr>
          <w:rFonts w:asciiTheme="minorHAnsi" w:hAnsiTheme="minorHAnsi"/>
          <w:sz w:val="24"/>
          <w:szCs w:val="24"/>
        </w:rPr>
      </w:pPr>
      <w:bookmarkStart w:id="23" w:name="_Toc357154653"/>
      <w:bookmarkStart w:id="24" w:name="_Toc357430874"/>
      <w:bookmarkStart w:id="25" w:name="_Toc357431336"/>
      <w:r w:rsidRPr="00C11169">
        <w:rPr>
          <w:rFonts w:asciiTheme="minorHAnsi" w:hAnsiTheme="minorHAnsi"/>
          <w:sz w:val="24"/>
          <w:szCs w:val="24"/>
        </w:rPr>
        <w:t>Dette publique</w:t>
      </w:r>
      <w:bookmarkEnd w:id="23"/>
      <w:bookmarkEnd w:id="24"/>
      <w:bookmarkEnd w:id="25"/>
    </w:p>
    <w:p w:rsidR="004133A6" w:rsidRPr="00C11169" w:rsidRDefault="004133A6" w:rsidP="007C78DB">
      <w:pPr>
        <w:spacing w:after="120"/>
        <w:jc w:val="both"/>
        <w:rPr>
          <w:sz w:val="24"/>
          <w:szCs w:val="24"/>
        </w:rPr>
      </w:pPr>
      <w:r w:rsidRPr="00C11169">
        <w:rPr>
          <w:sz w:val="24"/>
          <w:szCs w:val="24"/>
        </w:rPr>
        <w:t xml:space="preserve">L’encours de la dette publique a progressé de 191.648,7 MBIF, soit 20,1 p.c., atteignant 1.143.517,6 MBIF à fin mars 2013 contre 951.868,9 MBIF à la même période de 2012. Cette évolution est liée à l’augmentation de la dette intérieure (+79.680,3 MBIF) et extérieure (+111.968,4 MBIF). </w:t>
      </w:r>
    </w:p>
    <w:p w:rsidR="004133A6" w:rsidRPr="00C11169" w:rsidRDefault="004133A6" w:rsidP="007C78DB">
      <w:pPr>
        <w:spacing w:after="120"/>
        <w:jc w:val="both"/>
        <w:rPr>
          <w:sz w:val="24"/>
          <w:szCs w:val="24"/>
        </w:rPr>
      </w:pPr>
      <w:r w:rsidRPr="00C11169">
        <w:rPr>
          <w:sz w:val="24"/>
          <w:szCs w:val="24"/>
        </w:rPr>
        <w:t xml:space="preserve">Comparé à celui du mois précédent, l’encours de la dette publique a diminué de 28.339,7 MBIF suite à la </w:t>
      </w:r>
      <w:r w:rsidR="002F26E3">
        <w:rPr>
          <w:sz w:val="24"/>
          <w:szCs w:val="24"/>
        </w:rPr>
        <w:t>baisse</w:t>
      </w:r>
      <w:r w:rsidRPr="00C11169">
        <w:rPr>
          <w:sz w:val="24"/>
          <w:szCs w:val="24"/>
        </w:rPr>
        <w:t xml:space="preserve"> de la dette intérieure (-831,1 MBIF) et extérieure (-27.401,9 MBIF). </w:t>
      </w:r>
    </w:p>
    <w:p w:rsidR="004133A6" w:rsidRPr="00C11169" w:rsidRDefault="004133A6" w:rsidP="00C11169">
      <w:pPr>
        <w:pStyle w:val="Titre3"/>
        <w:spacing w:after="120"/>
        <w:rPr>
          <w:rFonts w:asciiTheme="minorHAnsi" w:hAnsiTheme="minorHAnsi"/>
          <w:sz w:val="24"/>
          <w:szCs w:val="24"/>
        </w:rPr>
      </w:pPr>
      <w:bookmarkStart w:id="26" w:name="_Toc357154654"/>
      <w:bookmarkStart w:id="27" w:name="_Toc357430875"/>
      <w:bookmarkStart w:id="28" w:name="_Toc357431337"/>
      <w:r w:rsidRPr="00C11169">
        <w:rPr>
          <w:rFonts w:asciiTheme="minorHAnsi" w:hAnsiTheme="minorHAnsi"/>
          <w:sz w:val="24"/>
          <w:szCs w:val="24"/>
        </w:rPr>
        <w:t>- Dette intérieure</w:t>
      </w:r>
      <w:bookmarkEnd w:id="26"/>
      <w:bookmarkEnd w:id="27"/>
      <w:bookmarkEnd w:id="28"/>
    </w:p>
    <w:p w:rsidR="004133A6" w:rsidRPr="00C11169" w:rsidRDefault="004133A6" w:rsidP="007C78DB">
      <w:pPr>
        <w:spacing w:after="120"/>
        <w:jc w:val="both"/>
        <w:rPr>
          <w:sz w:val="24"/>
          <w:szCs w:val="24"/>
        </w:rPr>
      </w:pPr>
      <w:r w:rsidRPr="00C11169">
        <w:rPr>
          <w:sz w:val="24"/>
          <w:szCs w:val="24"/>
        </w:rPr>
        <w:t xml:space="preserve">D’une année à l’autre, le stock de la dette publique intérieure a progressé de  79.680,3 MBIF,  passant de 445.494,7 à 525.175,0 MBIF </w:t>
      </w:r>
      <w:r w:rsidR="002F26E3">
        <w:rPr>
          <w:sz w:val="24"/>
          <w:szCs w:val="24"/>
        </w:rPr>
        <w:t>en liaison avec</w:t>
      </w:r>
      <w:r w:rsidRPr="00C11169">
        <w:rPr>
          <w:sz w:val="24"/>
          <w:szCs w:val="24"/>
        </w:rPr>
        <w:t xml:space="preserve">  l’augmentation de l’endettement de l’Etat vis-à-vis du secteur bancaire (+103.716,4) atténuée par désendettement de l’Etat envers le secteur non  bancaire (-24.036,1 MBIF). </w:t>
      </w:r>
    </w:p>
    <w:p w:rsidR="004133A6" w:rsidRPr="00C11169" w:rsidRDefault="004133A6" w:rsidP="007C78DB">
      <w:pPr>
        <w:spacing w:after="120"/>
        <w:jc w:val="both"/>
        <w:rPr>
          <w:sz w:val="24"/>
          <w:szCs w:val="24"/>
        </w:rPr>
      </w:pPr>
      <w:r w:rsidRPr="00C11169">
        <w:rPr>
          <w:sz w:val="24"/>
          <w:szCs w:val="24"/>
        </w:rPr>
        <w:lastRenderedPageBreak/>
        <w:t xml:space="preserve">Au niveau du secteur bancaire, la progression de l’endettement de l’Etat a résulté de la hausse des engagements de l’Etat envers la Banque Centrale (+128.725,5 MBIF), les titres du Trésor détenus par les banques commerciales ayant baissé de 25.416,7 MBIF. </w:t>
      </w:r>
    </w:p>
    <w:p w:rsidR="004133A6" w:rsidRPr="00C11169" w:rsidRDefault="004133A6" w:rsidP="007C78DB">
      <w:pPr>
        <w:spacing w:after="120"/>
        <w:jc w:val="both"/>
        <w:rPr>
          <w:sz w:val="24"/>
          <w:szCs w:val="24"/>
        </w:rPr>
      </w:pPr>
      <w:r w:rsidRPr="00C11169">
        <w:rPr>
          <w:sz w:val="24"/>
          <w:szCs w:val="24"/>
        </w:rPr>
        <w:t xml:space="preserve">Du côté du secteur non bancaire, les engagements de l’Etat aux titres </w:t>
      </w:r>
      <w:r w:rsidR="002F26E3">
        <w:rPr>
          <w:sz w:val="24"/>
          <w:szCs w:val="24"/>
        </w:rPr>
        <w:t>des bons et</w:t>
      </w:r>
      <w:r w:rsidRPr="00C11169">
        <w:rPr>
          <w:sz w:val="24"/>
          <w:szCs w:val="24"/>
        </w:rPr>
        <w:t xml:space="preserve"> obligations du </w:t>
      </w:r>
      <w:r w:rsidR="002F26E3">
        <w:rPr>
          <w:sz w:val="24"/>
          <w:szCs w:val="24"/>
        </w:rPr>
        <w:t>T</w:t>
      </w:r>
      <w:r w:rsidRPr="00C11169">
        <w:rPr>
          <w:sz w:val="24"/>
          <w:szCs w:val="24"/>
        </w:rPr>
        <w:t xml:space="preserve">résor ont progressé de 17.726.2 MBIF alors que les arriérés en dépense  ont diminué de 41.762,3 MBIF. </w:t>
      </w:r>
    </w:p>
    <w:p w:rsidR="004133A6" w:rsidRPr="00C11169" w:rsidRDefault="004133A6" w:rsidP="007C78DB">
      <w:pPr>
        <w:spacing w:after="120"/>
        <w:jc w:val="both"/>
        <w:rPr>
          <w:sz w:val="24"/>
          <w:szCs w:val="24"/>
        </w:rPr>
      </w:pPr>
      <w:r w:rsidRPr="00C11169">
        <w:rPr>
          <w:sz w:val="24"/>
          <w:szCs w:val="24"/>
        </w:rPr>
        <w:t xml:space="preserve">En flux mensuels, le stock de la dette intérieure s’est inscrit en baisse de 831,1                             MBIF, revenant de 526.006,1 à 525.175,0 MBIF en rapport avec le désendettement de l’Etat  vis-à-vis du secteur bancaire </w:t>
      </w:r>
      <w:r w:rsidR="007C78DB" w:rsidRPr="00C11169">
        <w:rPr>
          <w:sz w:val="24"/>
          <w:szCs w:val="24"/>
        </w:rPr>
        <w:t xml:space="preserve">       </w:t>
      </w:r>
      <w:r w:rsidRPr="00C11169">
        <w:rPr>
          <w:sz w:val="24"/>
          <w:szCs w:val="24"/>
        </w:rPr>
        <w:t xml:space="preserve">(-5.231,1 MBIF) qui a contrebalancé la hausse des engagements de l’Etat envers le secteur non bancaire (+4.400,0 MBIF).  </w:t>
      </w:r>
    </w:p>
    <w:p w:rsidR="004133A6" w:rsidRPr="00C11169" w:rsidRDefault="004133A6" w:rsidP="00C11169">
      <w:pPr>
        <w:pStyle w:val="Titre3"/>
        <w:spacing w:after="120"/>
        <w:rPr>
          <w:rFonts w:asciiTheme="minorHAnsi" w:hAnsiTheme="minorHAnsi"/>
          <w:sz w:val="24"/>
          <w:szCs w:val="24"/>
        </w:rPr>
      </w:pPr>
      <w:bookmarkStart w:id="29" w:name="_Toc357154655"/>
      <w:bookmarkStart w:id="30" w:name="_Toc357430876"/>
      <w:bookmarkStart w:id="31" w:name="_Toc357431338"/>
      <w:r w:rsidRPr="00C11169">
        <w:rPr>
          <w:rFonts w:asciiTheme="minorHAnsi" w:hAnsiTheme="minorHAnsi"/>
          <w:sz w:val="24"/>
          <w:szCs w:val="24"/>
        </w:rPr>
        <w:t>- Dette extérieure</w:t>
      </w:r>
      <w:bookmarkEnd w:id="29"/>
      <w:bookmarkEnd w:id="30"/>
      <w:bookmarkEnd w:id="31"/>
    </w:p>
    <w:p w:rsidR="004133A6" w:rsidRPr="00C11169" w:rsidRDefault="004133A6" w:rsidP="007C78DB">
      <w:pPr>
        <w:spacing w:after="120"/>
        <w:jc w:val="both"/>
        <w:rPr>
          <w:sz w:val="24"/>
          <w:szCs w:val="24"/>
        </w:rPr>
      </w:pPr>
      <w:r w:rsidRPr="00C11169">
        <w:rPr>
          <w:sz w:val="24"/>
          <w:szCs w:val="24"/>
        </w:rPr>
        <w:t xml:space="preserve">En glissement annuel, l’encours de la dette publique extérieure à fin mars 2013 s’est accru de 111.968,4 MBIF, passant de 506.374,2 à 618.342,6 MBIF. Cette augmentation a résulté des nouveaux tirages (64.368,5 MBIF) et des plus-values de réévaluation (55.280,2 MBIF), légèrement atténuée par l’amortissement de 7.680,4 MBIF.  </w:t>
      </w:r>
    </w:p>
    <w:p w:rsidR="004133A6" w:rsidRPr="00C11169" w:rsidRDefault="004133A6" w:rsidP="007C78DB">
      <w:pPr>
        <w:spacing w:after="120"/>
        <w:jc w:val="both"/>
        <w:rPr>
          <w:sz w:val="24"/>
          <w:szCs w:val="24"/>
        </w:rPr>
      </w:pPr>
      <w:r w:rsidRPr="00C11169">
        <w:rPr>
          <w:sz w:val="24"/>
          <w:szCs w:val="24"/>
        </w:rPr>
        <w:t xml:space="preserve">D’un mois à l’autre, l’encours de la dette publique extérieure a diminué de 27.401,9 MBIF, revenant de 645.744,5 à 618.342,6 MBIF, suite principalement aux moins-values de réévaluation à (-28. 156,2 MBIF) consécutives à l’appréciation de la monnaie burundaise au mois de mars après une forte dépréciation du mois précédent. </w:t>
      </w:r>
    </w:p>
    <w:p w:rsidR="004133A6" w:rsidRPr="00C11169" w:rsidRDefault="004133A6" w:rsidP="00D21559">
      <w:pPr>
        <w:spacing w:after="120"/>
        <w:jc w:val="both"/>
        <w:rPr>
          <w:sz w:val="24"/>
          <w:szCs w:val="24"/>
        </w:rPr>
      </w:pPr>
      <w:r w:rsidRPr="00C11169">
        <w:rPr>
          <w:sz w:val="24"/>
          <w:szCs w:val="24"/>
        </w:rPr>
        <w:lastRenderedPageBreak/>
        <w:t xml:space="preserve">Les tirages de mars 2013 ont été orientés vers les secteurs énergétique  et routier financés par </w:t>
      </w:r>
      <w:proofErr w:type="spellStart"/>
      <w:r w:rsidRPr="00C11169">
        <w:rPr>
          <w:sz w:val="24"/>
          <w:szCs w:val="24"/>
        </w:rPr>
        <w:t>Exim</w:t>
      </w:r>
      <w:proofErr w:type="spellEnd"/>
      <w:r w:rsidRPr="00C11169">
        <w:rPr>
          <w:sz w:val="24"/>
          <w:szCs w:val="24"/>
        </w:rPr>
        <w:t xml:space="preserve"> Bank et la BADEA à hauteur de 901,13 MBIF et de 391,6 MBIF respectivement.</w:t>
      </w:r>
      <w:r w:rsidR="00D21559">
        <w:rPr>
          <w:sz w:val="24"/>
          <w:szCs w:val="24"/>
        </w:rPr>
        <w:t xml:space="preserve"> </w:t>
      </w:r>
      <w:r w:rsidRPr="00C11169">
        <w:rPr>
          <w:sz w:val="24"/>
          <w:szCs w:val="24"/>
        </w:rPr>
        <w:t>Le</w:t>
      </w:r>
      <w:r w:rsidR="00D21559">
        <w:rPr>
          <w:sz w:val="24"/>
          <w:szCs w:val="24"/>
        </w:rPr>
        <w:t xml:space="preserve"> </w:t>
      </w:r>
      <w:r w:rsidRPr="00C11169">
        <w:rPr>
          <w:sz w:val="24"/>
          <w:szCs w:val="24"/>
        </w:rPr>
        <w:t xml:space="preserve">programme </w:t>
      </w:r>
      <w:proofErr w:type="spellStart"/>
      <w:r w:rsidRPr="00C11169">
        <w:rPr>
          <w:sz w:val="24"/>
          <w:szCs w:val="24"/>
        </w:rPr>
        <w:t>multi</w:t>
      </w:r>
      <w:r w:rsidR="00D21559">
        <w:rPr>
          <w:sz w:val="24"/>
          <w:szCs w:val="24"/>
        </w:rPr>
        <w:t>-</w:t>
      </w:r>
      <w:r w:rsidRPr="00C11169">
        <w:rPr>
          <w:sz w:val="24"/>
          <w:szCs w:val="24"/>
        </w:rPr>
        <w:t>sectoriel</w:t>
      </w:r>
      <w:proofErr w:type="spellEnd"/>
      <w:r w:rsidRPr="00C11169">
        <w:rPr>
          <w:sz w:val="24"/>
          <w:szCs w:val="24"/>
        </w:rPr>
        <w:t xml:space="preserve"> de réinsertion a également bénéficié d’un financement </w:t>
      </w:r>
      <w:r w:rsidR="002F26E3">
        <w:rPr>
          <w:sz w:val="24"/>
          <w:szCs w:val="24"/>
        </w:rPr>
        <w:t>par le</w:t>
      </w:r>
      <w:r w:rsidRPr="00C11169">
        <w:rPr>
          <w:sz w:val="24"/>
          <w:szCs w:val="24"/>
        </w:rPr>
        <w:t xml:space="preserve">  FAD de 5,1 MBIF.    </w:t>
      </w:r>
    </w:p>
    <w:p w:rsidR="00C351CC" w:rsidRDefault="004133A6" w:rsidP="00C351CC">
      <w:pPr>
        <w:spacing w:after="240"/>
        <w:jc w:val="both"/>
        <w:rPr>
          <w:sz w:val="24"/>
          <w:szCs w:val="24"/>
        </w:rPr>
      </w:pPr>
      <w:r w:rsidRPr="00C11169">
        <w:rPr>
          <w:sz w:val="24"/>
          <w:szCs w:val="24"/>
        </w:rPr>
        <w:t xml:space="preserve">Exprimé en dollars américains, le stock de la dette extérieure à fin mars 2013 a augmenté de 31,4 MUSD, se fixant à 391,7 contre 360,3 MUSD à </w:t>
      </w:r>
      <w:bookmarkStart w:id="32" w:name="_Toc357154656"/>
      <w:r w:rsidR="002F26E3">
        <w:rPr>
          <w:sz w:val="24"/>
          <w:szCs w:val="24"/>
        </w:rPr>
        <w:t>fin mars 2012.</w:t>
      </w:r>
      <w:bookmarkStart w:id="33" w:name="_Toc357431339"/>
    </w:p>
    <w:p w:rsidR="00BF7FDB" w:rsidRPr="00C351CC" w:rsidRDefault="002E061F" w:rsidP="00C351CC">
      <w:pPr>
        <w:spacing w:after="120"/>
        <w:jc w:val="both"/>
        <w:rPr>
          <w:b/>
          <w:color w:val="0070C0"/>
          <w:sz w:val="24"/>
          <w:szCs w:val="24"/>
        </w:rPr>
      </w:pPr>
      <w:r w:rsidRPr="00C351CC">
        <w:rPr>
          <w:b/>
          <w:color w:val="0070C0"/>
          <w:sz w:val="24"/>
          <w:szCs w:val="24"/>
        </w:rPr>
        <w:t>V. BASE MONETAIRE, MASSE MONETAIRE ET SES CONTREPARTIES</w:t>
      </w:r>
      <w:bookmarkEnd w:id="32"/>
      <w:bookmarkEnd w:id="33"/>
    </w:p>
    <w:p w:rsidR="002E061F" w:rsidRPr="00C11169" w:rsidRDefault="002E061F" w:rsidP="00C11169">
      <w:pPr>
        <w:pStyle w:val="Titre2"/>
        <w:spacing w:after="120"/>
        <w:rPr>
          <w:rFonts w:asciiTheme="minorHAnsi" w:hAnsiTheme="minorHAnsi"/>
          <w:sz w:val="24"/>
          <w:szCs w:val="24"/>
        </w:rPr>
      </w:pPr>
      <w:bookmarkStart w:id="34" w:name="_Toc357154657"/>
      <w:bookmarkStart w:id="35" w:name="_Toc357430877"/>
      <w:bookmarkStart w:id="36" w:name="_Toc357431340"/>
      <w:r w:rsidRPr="00C11169">
        <w:rPr>
          <w:rFonts w:asciiTheme="minorHAnsi" w:hAnsiTheme="minorHAnsi"/>
          <w:sz w:val="24"/>
          <w:szCs w:val="24"/>
        </w:rPr>
        <w:t>Base monétaire</w:t>
      </w:r>
      <w:bookmarkEnd w:id="34"/>
      <w:bookmarkEnd w:id="35"/>
      <w:bookmarkEnd w:id="36"/>
    </w:p>
    <w:p w:rsidR="00CD342A" w:rsidRPr="00C11169" w:rsidRDefault="002E061F" w:rsidP="007C78DB">
      <w:pPr>
        <w:spacing w:after="120"/>
        <w:jc w:val="both"/>
        <w:rPr>
          <w:rFonts w:eastAsia="Times New Roman" w:cs="Arial"/>
          <w:sz w:val="24"/>
          <w:szCs w:val="24"/>
          <w:lang w:eastAsia="fr-FR"/>
        </w:rPr>
      </w:pPr>
      <w:r w:rsidRPr="00C11169">
        <w:rPr>
          <w:rFonts w:cs="Times New Roman"/>
          <w:sz w:val="24"/>
          <w:szCs w:val="24"/>
        </w:rPr>
        <w:t xml:space="preserve">En glissement sur douze mois, la base monétaire s’est fortement accrue de 54.807,5 MBIF, soit 28,3 p.c., passant de </w:t>
      </w:r>
      <w:r w:rsidRPr="00C11169">
        <w:rPr>
          <w:rFonts w:eastAsia="Times New Roman" w:cs="Arial"/>
          <w:bCs/>
          <w:sz w:val="24"/>
          <w:szCs w:val="24"/>
          <w:lang w:eastAsia="fr-FR"/>
        </w:rPr>
        <w:t>193.417,8 à 248.225,3 MBIF. Cette augmentation a résulté de la hausse des dépôts du secteur bancaire</w:t>
      </w:r>
      <w:r w:rsidR="00CD342A" w:rsidRPr="00C11169">
        <w:rPr>
          <w:rFonts w:eastAsia="Times New Roman" w:cs="Arial"/>
          <w:bCs/>
          <w:sz w:val="24"/>
          <w:szCs w:val="24"/>
          <w:lang w:eastAsia="fr-FR"/>
        </w:rPr>
        <w:t xml:space="preserve"> (</w:t>
      </w:r>
      <w:r w:rsidR="009E49EE" w:rsidRPr="00C11169">
        <w:rPr>
          <w:rFonts w:eastAsia="Times New Roman" w:cs="Arial"/>
          <w:bCs/>
          <w:sz w:val="24"/>
          <w:szCs w:val="24"/>
          <w:lang w:eastAsia="fr-FR"/>
        </w:rPr>
        <w:t>+</w:t>
      </w:r>
      <w:r w:rsidR="00CD342A" w:rsidRPr="00C11169">
        <w:rPr>
          <w:rFonts w:eastAsia="Times New Roman" w:cs="Arial"/>
          <w:sz w:val="24"/>
          <w:szCs w:val="24"/>
          <w:lang w:eastAsia="fr-FR"/>
        </w:rPr>
        <w:t>22.818,8 MBIF), du volume des billets et pièces en circulation (</w:t>
      </w:r>
      <w:r w:rsidR="009E49EE" w:rsidRPr="00C11169">
        <w:rPr>
          <w:rFonts w:eastAsia="Times New Roman" w:cs="Arial"/>
          <w:sz w:val="24"/>
          <w:szCs w:val="24"/>
          <w:lang w:eastAsia="fr-FR"/>
        </w:rPr>
        <w:t>+</w:t>
      </w:r>
      <w:r w:rsidR="00652DCC" w:rsidRPr="00C11169">
        <w:rPr>
          <w:rFonts w:eastAsia="Times New Roman" w:cs="Arial"/>
          <w:sz w:val="24"/>
          <w:szCs w:val="24"/>
          <w:lang w:eastAsia="fr-FR"/>
        </w:rPr>
        <w:t>23.668,8 MBIF) et</w:t>
      </w:r>
      <w:r w:rsidR="00A0181C" w:rsidRPr="00C11169">
        <w:rPr>
          <w:rFonts w:eastAsia="Times New Roman" w:cs="Arial"/>
          <w:sz w:val="24"/>
          <w:szCs w:val="24"/>
          <w:lang w:eastAsia="fr-FR"/>
        </w:rPr>
        <w:t xml:space="preserve"> des dépôts divers (</w:t>
      </w:r>
      <w:r w:rsidR="009E49EE" w:rsidRPr="00C11169">
        <w:rPr>
          <w:rFonts w:eastAsia="Times New Roman" w:cs="Arial"/>
          <w:sz w:val="24"/>
          <w:szCs w:val="24"/>
          <w:lang w:eastAsia="fr-FR"/>
        </w:rPr>
        <w:t>+</w:t>
      </w:r>
      <w:r w:rsidR="00652DCC" w:rsidRPr="00C11169">
        <w:rPr>
          <w:rFonts w:eastAsia="Times New Roman" w:cs="Arial"/>
          <w:sz w:val="24"/>
          <w:szCs w:val="24"/>
          <w:lang w:eastAsia="fr-FR"/>
        </w:rPr>
        <w:t>7</w:t>
      </w:r>
      <w:r w:rsidR="00A0181C" w:rsidRPr="00C11169">
        <w:rPr>
          <w:rFonts w:eastAsia="Times New Roman" w:cs="Arial"/>
          <w:sz w:val="24"/>
          <w:szCs w:val="24"/>
          <w:lang w:eastAsia="fr-FR"/>
        </w:rPr>
        <w:t>.</w:t>
      </w:r>
      <w:r w:rsidR="00652DCC" w:rsidRPr="00C11169">
        <w:rPr>
          <w:rFonts w:eastAsia="Times New Roman" w:cs="Arial"/>
          <w:sz w:val="24"/>
          <w:szCs w:val="24"/>
          <w:lang w:eastAsia="fr-FR"/>
        </w:rPr>
        <w:t>935,6</w:t>
      </w:r>
      <w:r w:rsidR="00A0181C" w:rsidRPr="00C11169">
        <w:rPr>
          <w:rFonts w:eastAsia="Times New Roman" w:cs="Arial"/>
          <w:sz w:val="24"/>
          <w:szCs w:val="24"/>
          <w:lang w:eastAsia="fr-FR"/>
        </w:rPr>
        <w:t xml:space="preserve"> MBIF).</w:t>
      </w:r>
    </w:p>
    <w:p w:rsidR="00A0181C" w:rsidRPr="00C11169" w:rsidRDefault="00A0181C" w:rsidP="00C11169">
      <w:pPr>
        <w:pStyle w:val="Titre2"/>
        <w:spacing w:after="120"/>
        <w:rPr>
          <w:rFonts w:asciiTheme="minorHAnsi" w:eastAsia="Times New Roman" w:hAnsiTheme="minorHAnsi"/>
          <w:sz w:val="24"/>
          <w:szCs w:val="24"/>
          <w:lang w:eastAsia="fr-FR"/>
        </w:rPr>
      </w:pPr>
      <w:bookmarkStart w:id="37" w:name="_Toc357154658"/>
      <w:bookmarkStart w:id="38" w:name="_Toc357430878"/>
      <w:bookmarkStart w:id="39" w:name="_Toc357431341"/>
      <w:r w:rsidRPr="00C11169">
        <w:rPr>
          <w:rFonts w:asciiTheme="minorHAnsi" w:eastAsia="Times New Roman" w:hAnsiTheme="minorHAnsi"/>
          <w:sz w:val="24"/>
          <w:szCs w:val="24"/>
          <w:lang w:eastAsia="fr-FR"/>
        </w:rPr>
        <w:t>Masse monétaire</w:t>
      </w:r>
      <w:bookmarkEnd w:id="37"/>
      <w:bookmarkEnd w:id="38"/>
      <w:bookmarkEnd w:id="39"/>
    </w:p>
    <w:p w:rsidR="00457196" w:rsidRPr="00C11169" w:rsidRDefault="00A0181C" w:rsidP="007C78DB">
      <w:pPr>
        <w:spacing w:after="120"/>
        <w:jc w:val="both"/>
        <w:rPr>
          <w:rFonts w:eastAsia="Times New Roman" w:cs="Arial"/>
          <w:sz w:val="24"/>
          <w:szCs w:val="24"/>
          <w:lang w:eastAsia="fr-FR"/>
        </w:rPr>
      </w:pPr>
      <w:r w:rsidRPr="00C11169">
        <w:rPr>
          <w:rFonts w:eastAsia="Times New Roman" w:cs="Arial"/>
          <w:sz w:val="24"/>
          <w:szCs w:val="24"/>
          <w:lang w:eastAsia="fr-FR"/>
        </w:rPr>
        <w:t>Pa</w:t>
      </w:r>
      <w:r w:rsidR="00530C7C" w:rsidRPr="00C11169">
        <w:rPr>
          <w:rFonts w:eastAsia="Times New Roman" w:cs="Arial"/>
          <w:sz w:val="24"/>
          <w:szCs w:val="24"/>
          <w:lang w:eastAsia="fr-FR"/>
        </w:rPr>
        <w:t>r</w:t>
      </w:r>
      <w:r w:rsidRPr="00C11169">
        <w:rPr>
          <w:rFonts w:eastAsia="Times New Roman" w:cs="Arial"/>
          <w:sz w:val="24"/>
          <w:szCs w:val="24"/>
          <w:lang w:eastAsia="fr-FR"/>
        </w:rPr>
        <w:t xml:space="preserve"> rapport à mars 2012, la masse monétaire </w:t>
      </w:r>
      <w:r w:rsidR="00530C7C" w:rsidRPr="00C11169">
        <w:rPr>
          <w:rFonts w:eastAsia="Times New Roman" w:cs="Arial"/>
          <w:sz w:val="24"/>
          <w:szCs w:val="24"/>
          <w:lang w:eastAsia="fr-FR"/>
        </w:rPr>
        <w:t>(75</w:t>
      </w:r>
      <w:r w:rsidR="00652DCC" w:rsidRPr="00C11169">
        <w:rPr>
          <w:rFonts w:eastAsia="Times New Roman" w:cs="Arial"/>
          <w:sz w:val="24"/>
          <w:szCs w:val="24"/>
          <w:lang w:eastAsia="fr-FR"/>
        </w:rPr>
        <w:t>6.889,9</w:t>
      </w:r>
      <w:r w:rsidR="00530C7C" w:rsidRPr="00C11169">
        <w:rPr>
          <w:rFonts w:eastAsia="Times New Roman" w:cs="Arial"/>
          <w:sz w:val="24"/>
          <w:szCs w:val="24"/>
          <w:lang w:eastAsia="fr-FR"/>
        </w:rPr>
        <w:t xml:space="preserve"> contre </w:t>
      </w:r>
      <w:r w:rsidR="00652DCC" w:rsidRPr="00C11169">
        <w:rPr>
          <w:rFonts w:eastAsia="Times New Roman" w:cs="Arial"/>
          <w:sz w:val="24"/>
          <w:szCs w:val="24"/>
          <w:lang w:eastAsia="fr-FR"/>
        </w:rPr>
        <w:t>654.457,0</w:t>
      </w:r>
      <w:r w:rsidR="00530C7C" w:rsidRPr="00C11169">
        <w:rPr>
          <w:rFonts w:eastAsia="Times New Roman" w:cs="Arial"/>
          <w:sz w:val="24"/>
          <w:szCs w:val="24"/>
          <w:lang w:eastAsia="fr-FR"/>
        </w:rPr>
        <w:t xml:space="preserve"> MBIF) s’est accrue de</w:t>
      </w:r>
      <w:r w:rsidR="009E49EE" w:rsidRPr="00C11169">
        <w:rPr>
          <w:rFonts w:eastAsia="Times New Roman" w:cs="Arial"/>
          <w:sz w:val="24"/>
          <w:szCs w:val="24"/>
          <w:lang w:eastAsia="fr-FR"/>
        </w:rPr>
        <w:t xml:space="preserve"> 102.432,9 MBIF, soit 15,7 p.c., en liaison avec l’accroissement des disponibilités monétaires (+78.537,7</w:t>
      </w:r>
      <w:r w:rsidR="002F26E3">
        <w:rPr>
          <w:rFonts w:eastAsia="Times New Roman" w:cs="Arial"/>
          <w:sz w:val="24"/>
          <w:szCs w:val="24"/>
          <w:lang w:eastAsia="fr-FR"/>
        </w:rPr>
        <w:t xml:space="preserve"> </w:t>
      </w:r>
      <w:r w:rsidR="009E49EE" w:rsidRPr="00C11169">
        <w:rPr>
          <w:rFonts w:eastAsia="Times New Roman" w:cs="Arial"/>
          <w:sz w:val="24"/>
          <w:szCs w:val="24"/>
          <w:lang w:eastAsia="fr-FR"/>
        </w:rPr>
        <w:t>MBIF)</w:t>
      </w:r>
      <w:r w:rsidR="00457196" w:rsidRPr="00C11169">
        <w:rPr>
          <w:rFonts w:eastAsia="Times New Roman" w:cs="Arial"/>
          <w:sz w:val="24"/>
          <w:szCs w:val="24"/>
          <w:lang w:eastAsia="fr-FR"/>
        </w:rPr>
        <w:t xml:space="preserve"> et de la quasi-monnaie (+23.895,2 MBIF).</w:t>
      </w:r>
    </w:p>
    <w:p w:rsidR="00B25223" w:rsidRPr="00C11169" w:rsidRDefault="00457196" w:rsidP="009E49EE">
      <w:pPr>
        <w:jc w:val="both"/>
        <w:rPr>
          <w:rFonts w:eastAsia="Times New Roman" w:cs="Arial"/>
          <w:sz w:val="24"/>
          <w:szCs w:val="24"/>
          <w:lang w:eastAsia="fr-FR"/>
        </w:rPr>
      </w:pPr>
      <w:r w:rsidRPr="00C11169">
        <w:rPr>
          <w:rFonts w:eastAsia="Times New Roman" w:cs="Arial"/>
          <w:sz w:val="24"/>
          <w:szCs w:val="24"/>
          <w:lang w:eastAsia="fr-FR"/>
        </w:rPr>
        <w:t>La hausse des disponibilités monétaires a concerné à la fois les dépôts à vue (</w:t>
      </w:r>
      <w:r w:rsidR="00652DCC" w:rsidRPr="00C11169">
        <w:rPr>
          <w:rFonts w:eastAsia="Times New Roman" w:cs="Arial"/>
          <w:sz w:val="24"/>
          <w:szCs w:val="24"/>
          <w:lang w:eastAsia="fr-FR"/>
        </w:rPr>
        <w:t>+</w:t>
      </w:r>
      <w:r w:rsidRPr="00C11169">
        <w:rPr>
          <w:rFonts w:eastAsia="Times New Roman" w:cs="Arial"/>
          <w:sz w:val="24"/>
          <w:szCs w:val="24"/>
          <w:lang w:eastAsia="fr-FR"/>
        </w:rPr>
        <w:t>59.032,4 MBIF</w:t>
      </w:r>
      <w:r w:rsidR="00B25223" w:rsidRPr="00C11169">
        <w:rPr>
          <w:rFonts w:eastAsia="Times New Roman" w:cs="Arial"/>
          <w:sz w:val="24"/>
          <w:szCs w:val="24"/>
          <w:lang w:eastAsia="fr-FR"/>
        </w:rPr>
        <w:t>) et la circulation fiduciaire hors banques (</w:t>
      </w:r>
      <w:r w:rsidR="00652DCC" w:rsidRPr="00C11169">
        <w:rPr>
          <w:rFonts w:eastAsia="Times New Roman" w:cs="Arial"/>
          <w:sz w:val="24"/>
          <w:szCs w:val="24"/>
          <w:lang w:eastAsia="fr-FR"/>
        </w:rPr>
        <w:t>+</w:t>
      </w:r>
      <w:r w:rsidR="00B25223" w:rsidRPr="00C11169">
        <w:rPr>
          <w:rFonts w:eastAsia="Times New Roman" w:cs="Arial"/>
          <w:sz w:val="24"/>
          <w:szCs w:val="24"/>
          <w:lang w:eastAsia="fr-FR"/>
        </w:rPr>
        <w:t>19.505,3 MBIF).</w:t>
      </w:r>
    </w:p>
    <w:p w:rsidR="003223E8" w:rsidRPr="00C11169" w:rsidRDefault="00B25223" w:rsidP="007C78DB">
      <w:pPr>
        <w:spacing w:after="120"/>
        <w:jc w:val="both"/>
        <w:rPr>
          <w:rFonts w:eastAsia="Times New Roman" w:cs="Arial"/>
          <w:sz w:val="24"/>
          <w:szCs w:val="24"/>
          <w:lang w:eastAsia="fr-FR"/>
        </w:rPr>
      </w:pPr>
      <w:r w:rsidRPr="00C11169">
        <w:rPr>
          <w:rFonts w:eastAsia="Times New Roman" w:cs="Arial"/>
          <w:sz w:val="24"/>
          <w:szCs w:val="24"/>
          <w:lang w:eastAsia="fr-FR"/>
        </w:rPr>
        <w:lastRenderedPageBreak/>
        <w:t>L’augmentation des dépôts à vue a porté sur les dépôts des particuliers (+55.242,9 MBIF), des entreprises privées (+19.791,8 MBIF), des sociétés à participation publique (+1.808,2 MBIF) et des établissements</w:t>
      </w:r>
      <w:r w:rsidR="0021540C">
        <w:rPr>
          <w:rFonts w:eastAsia="Times New Roman" w:cs="Arial"/>
          <w:sz w:val="24"/>
          <w:szCs w:val="24"/>
          <w:lang w:eastAsia="fr-FR"/>
        </w:rPr>
        <w:t xml:space="preserve"> financiers</w:t>
      </w:r>
      <w:r w:rsidRPr="00C11169">
        <w:rPr>
          <w:rFonts w:eastAsia="Times New Roman" w:cs="Arial"/>
          <w:sz w:val="24"/>
          <w:szCs w:val="24"/>
          <w:lang w:eastAsia="fr-FR"/>
        </w:rPr>
        <w:t xml:space="preserve"> (+1.732,6 MBIF). En revanche, les dépôts regroupés dans les « autres comptes » (-19.543,1 MBIF) se sont inscrits en baisse.</w:t>
      </w:r>
    </w:p>
    <w:p w:rsidR="002F0721" w:rsidRPr="00C11169" w:rsidRDefault="003223E8" w:rsidP="007C78DB">
      <w:pPr>
        <w:spacing w:after="120"/>
        <w:jc w:val="both"/>
        <w:rPr>
          <w:rFonts w:eastAsia="Times New Roman" w:cs="Arial"/>
          <w:bCs/>
          <w:iCs/>
          <w:sz w:val="24"/>
          <w:szCs w:val="24"/>
          <w:lang w:eastAsia="fr-FR"/>
        </w:rPr>
      </w:pPr>
      <w:r w:rsidRPr="00C11169">
        <w:rPr>
          <w:rFonts w:eastAsia="Times New Roman" w:cs="Arial"/>
          <w:sz w:val="24"/>
          <w:szCs w:val="24"/>
          <w:lang w:eastAsia="fr-FR"/>
        </w:rPr>
        <w:t>La progression des dépôts à terme et d’épargne a principalement</w:t>
      </w:r>
      <w:r w:rsidR="00B25223" w:rsidRPr="00C11169">
        <w:rPr>
          <w:rFonts w:eastAsia="Times New Roman" w:cs="Arial"/>
          <w:sz w:val="24"/>
          <w:szCs w:val="24"/>
          <w:lang w:eastAsia="fr-FR"/>
        </w:rPr>
        <w:t xml:space="preserve"> </w:t>
      </w:r>
      <w:r w:rsidRPr="00C11169">
        <w:rPr>
          <w:rFonts w:eastAsia="Times New Roman" w:cs="Arial"/>
          <w:sz w:val="24"/>
          <w:szCs w:val="24"/>
          <w:lang w:eastAsia="fr-FR"/>
        </w:rPr>
        <w:t xml:space="preserve">résulté de la hausse </w:t>
      </w:r>
      <w:r w:rsidR="002F26E3">
        <w:rPr>
          <w:rFonts w:eastAsia="Times New Roman" w:cs="Arial"/>
          <w:sz w:val="24"/>
          <w:szCs w:val="24"/>
          <w:lang w:eastAsia="fr-FR"/>
        </w:rPr>
        <w:t xml:space="preserve">des placements </w:t>
      </w:r>
      <w:r w:rsidRPr="00C11169">
        <w:rPr>
          <w:rFonts w:eastAsia="Times New Roman" w:cs="Arial"/>
          <w:sz w:val="24"/>
          <w:szCs w:val="24"/>
          <w:lang w:eastAsia="fr-FR"/>
        </w:rPr>
        <w:t>des particuliers (+11.554,5 MBIF), des sociétés à participation publique (+2.409,9 MBIF) et de ceux classés dans les « autres comptes » (+11.</w:t>
      </w:r>
      <w:r w:rsidR="00C25020" w:rsidRPr="00C11169">
        <w:rPr>
          <w:rFonts w:eastAsia="Times New Roman" w:cs="Arial"/>
          <w:sz w:val="24"/>
          <w:szCs w:val="24"/>
          <w:lang w:eastAsia="fr-FR"/>
        </w:rPr>
        <w:t>963,7 MBIF)</w:t>
      </w:r>
      <w:r w:rsidR="00652DCC" w:rsidRPr="00C11169">
        <w:rPr>
          <w:rFonts w:eastAsia="Times New Roman" w:cs="Arial"/>
          <w:sz w:val="24"/>
          <w:szCs w:val="24"/>
          <w:lang w:eastAsia="fr-FR"/>
        </w:rPr>
        <w:t xml:space="preserve">. En revanche, les </w:t>
      </w:r>
      <w:r w:rsidR="00C25020" w:rsidRPr="00C11169">
        <w:rPr>
          <w:rFonts w:eastAsia="Times New Roman" w:cs="Arial"/>
          <w:sz w:val="24"/>
          <w:szCs w:val="24"/>
          <w:lang w:eastAsia="fr-FR"/>
        </w:rPr>
        <w:t>dépôts des</w:t>
      </w:r>
      <w:r w:rsidR="006212AC" w:rsidRPr="00C11169">
        <w:rPr>
          <w:rFonts w:eastAsia="Times New Roman" w:cs="Arial"/>
          <w:b/>
          <w:bCs/>
          <w:iCs/>
          <w:sz w:val="24"/>
          <w:szCs w:val="24"/>
          <w:lang w:eastAsia="fr-FR"/>
        </w:rPr>
        <w:t xml:space="preserve"> </w:t>
      </w:r>
      <w:r w:rsidR="006212AC" w:rsidRPr="00C11169">
        <w:rPr>
          <w:rFonts w:eastAsia="Times New Roman" w:cs="Arial"/>
          <w:bCs/>
          <w:iCs/>
          <w:sz w:val="24"/>
          <w:szCs w:val="24"/>
          <w:lang w:eastAsia="fr-FR"/>
        </w:rPr>
        <w:t>entreprises privées</w:t>
      </w:r>
      <w:r w:rsidR="002F0721" w:rsidRPr="00C11169">
        <w:rPr>
          <w:rFonts w:eastAsia="Times New Roman" w:cs="Arial"/>
          <w:bCs/>
          <w:iCs/>
          <w:sz w:val="24"/>
          <w:szCs w:val="24"/>
          <w:lang w:eastAsia="fr-FR"/>
        </w:rPr>
        <w:t xml:space="preserve"> </w:t>
      </w:r>
      <w:r w:rsidR="00621024">
        <w:rPr>
          <w:rFonts w:eastAsia="Times New Roman" w:cs="Arial"/>
          <w:bCs/>
          <w:iCs/>
          <w:sz w:val="24"/>
          <w:szCs w:val="24"/>
          <w:lang w:eastAsia="fr-FR"/>
        </w:rPr>
        <w:t xml:space="preserve">              </w:t>
      </w:r>
      <w:r w:rsidR="002F0721" w:rsidRPr="00C11169">
        <w:rPr>
          <w:rFonts w:eastAsia="Times New Roman" w:cs="Arial"/>
          <w:bCs/>
          <w:iCs/>
          <w:sz w:val="24"/>
          <w:szCs w:val="24"/>
          <w:lang w:eastAsia="fr-FR"/>
        </w:rPr>
        <w:t>(-2.232,9 MBIF)</w:t>
      </w:r>
      <w:r w:rsidR="00652DCC" w:rsidRPr="00C11169">
        <w:rPr>
          <w:rFonts w:eastAsia="Times New Roman" w:cs="Arial"/>
          <w:bCs/>
          <w:iCs/>
          <w:sz w:val="24"/>
          <w:szCs w:val="24"/>
          <w:lang w:eastAsia="fr-FR"/>
        </w:rPr>
        <w:t xml:space="preserve"> ont diminué</w:t>
      </w:r>
      <w:r w:rsidR="002F0721" w:rsidRPr="00C11169">
        <w:rPr>
          <w:rFonts w:eastAsia="Times New Roman" w:cs="Arial"/>
          <w:bCs/>
          <w:iCs/>
          <w:sz w:val="24"/>
          <w:szCs w:val="24"/>
          <w:lang w:eastAsia="fr-FR"/>
        </w:rPr>
        <w:t>.</w:t>
      </w:r>
    </w:p>
    <w:p w:rsidR="009E49EE" w:rsidRPr="00C11169" w:rsidRDefault="002F0721" w:rsidP="00C11169">
      <w:pPr>
        <w:pStyle w:val="Titre2"/>
        <w:spacing w:after="120"/>
        <w:rPr>
          <w:rFonts w:asciiTheme="minorHAnsi" w:eastAsia="Times New Roman" w:hAnsiTheme="minorHAnsi"/>
          <w:sz w:val="24"/>
          <w:szCs w:val="24"/>
          <w:lang w:eastAsia="fr-FR"/>
        </w:rPr>
      </w:pPr>
      <w:bookmarkStart w:id="40" w:name="_Toc357154659"/>
      <w:bookmarkStart w:id="41" w:name="_Toc357430879"/>
      <w:bookmarkStart w:id="42" w:name="_Toc357431342"/>
      <w:r w:rsidRPr="00C11169">
        <w:rPr>
          <w:rFonts w:asciiTheme="minorHAnsi" w:eastAsia="Times New Roman" w:hAnsiTheme="minorHAnsi"/>
          <w:sz w:val="24"/>
          <w:szCs w:val="24"/>
          <w:lang w:eastAsia="fr-FR"/>
        </w:rPr>
        <w:t>Contreparties</w:t>
      </w:r>
      <w:bookmarkEnd w:id="40"/>
      <w:bookmarkEnd w:id="41"/>
      <w:bookmarkEnd w:id="42"/>
      <w:r w:rsidR="006212AC" w:rsidRPr="00C11169">
        <w:rPr>
          <w:rFonts w:asciiTheme="minorHAnsi" w:eastAsia="Times New Roman" w:hAnsiTheme="minorHAnsi"/>
          <w:sz w:val="24"/>
          <w:szCs w:val="24"/>
          <w:lang w:eastAsia="fr-FR"/>
        </w:rPr>
        <w:t xml:space="preserve"> </w:t>
      </w:r>
    </w:p>
    <w:p w:rsidR="00EB1A77" w:rsidRPr="00C11169" w:rsidRDefault="00EB1A77" w:rsidP="007C78DB">
      <w:pPr>
        <w:spacing w:after="120"/>
        <w:jc w:val="both"/>
        <w:rPr>
          <w:rFonts w:eastAsia="Times New Roman" w:cs="Arial"/>
          <w:bCs/>
          <w:iCs/>
          <w:sz w:val="24"/>
          <w:szCs w:val="24"/>
          <w:lang w:eastAsia="fr-FR"/>
        </w:rPr>
      </w:pPr>
      <w:r w:rsidRPr="00C11169">
        <w:rPr>
          <w:rFonts w:eastAsia="Times New Roman" w:cs="Arial"/>
          <w:bCs/>
          <w:iCs/>
          <w:sz w:val="24"/>
          <w:szCs w:val="24"/>
          <w:lang w:eastAsia="fr-FR"/>
        </w:rPr>
        <w:t>Passant de 819.854,0 à 966.308,1 MBIF, le crédit intérieur s’est accru de 146.454,1 MBIF, soit 17,9 p.c.</w:t>
      </w:r>
      <w:r w:rsidR="00E00C4C" w:rsidRPr="00C11169">
        <w:rPr>
          <w:rFonts w:eastAsia="Times New Roman" w:cs="Arial"/>
          <w:bCs/>
          <w:iCs/>
          <w:sz w:val="24"/>
          <w:szCs w:val="24"/>
          <w:lang w:eastAsia="fr-FR"/>
        </w:rPr>
        <w:t>,</w:t>
      </w:r>
      <w:r w:rsidRPr="00C11169">
        <w:rPr>
          <w:rFonts w:eastAsia="Times New Roman" w:cs="Arial"/>
          <w:bCs/>
          <w:iCs/>
          <w:sz w:val="24"/>
          <w:szCs w:val="24"/>
          <w:lang w:eastAsia="fr-FR"/>
        </w:rPr>
        <w:t xml:space="preserve"> en rapport avec l’expansion des créances sur l’économie (+87.309,6</w:t>
      </w:r>
      <w:r w:rsidR="00E32C5B" w:rsidRPr="00C11169">
        <w:rPr>
          <w:rFonts w:eastAsia="Times New Roman" w:cs="Arial"/>
          <w:bCs/>
          <w:iCs/>
          <w:sz w:val="24"/>
          <w:szCs w:val="24"/>
          <w:lang w:eastAsia="fr-FR"/>
        </w:rPr>
        <w:t xml:space="preserve"> </w:t>
      </w:r>
      <w:r w:rsidRPr="00C11169">
        <w:rPr>
          <w:rFonts w:eastAsia="Times New Roman" w:cs="Arial"/>
          <w:bCs/>
          <w:iCs/>
          <w:sz w:val="24"/>
          <w:szCs w:val="24"/>
          <w:lang w:eastAsia="fr-FR"/>
        </w:rPr>
        <w:t>MBIF) et des créances nettes sur l’Etat (+59.144,5 MBIF).</w:t>
      </w:r>
    </w:p>
    <w:p w:rsidR="00EB1A77" w:rsidRPr="00C11169" w:rsidRDefault="00EB1A77" w:rsidP="009E49EE">
      <w:pPr>
        <w:jc w:val="both"/>
        <w:rPr>
          <w:rFonts w:eastAsia="Times New Roman" w:cs="Arial"/>
          <w:bCs/>
          <w:iCs/>
          <w:sz w:val="24"/>
          <w:szCs w:val="24"/>
          <w:lang w:eastAsia="fr-FR"/>
        </w:rPr>
      </w:pPr>
      <w:r w:rsidRPr="00C11169">
        <w:rPr>
          <w:rFonts w:eastAsia="Times New Roman" w:cs="Arial"/>
          <w:bCs/>
          <w:iCs/>
          <w:sz w:val="24"/>
          <w:szCs w:val="24"/>
          <w:lang w:eastAsia="fr-FR"/>
        </w:rPr>
        <w:t>L’augmentation de l’endettement net de l’Etat a résulté principalement de la hausse</w:t>
      </w:r>
      <w:r w:rsidR="002E038C" w:rsidRPr="00C11169">
        <w:rPr>
          <w:rFonts w:eastAsia="Times New Roman" w:cs="Arial"/>
          <w:bCs/>
          <w:iCs/>
          <w:sz w:val="24"/>
          <w:szCs w:val="24"/>
          <w:lang w:eastAsia="fr-FR"/>
        </w:rPr>
        <w:t xml:space="preserve"> des avances de la Banque Centrale (+</w:t>
      </w:r>
      <w:r w:rsidR="004C524A" w:rsidRPr="00C11169">
        <w:rPr>
          <w:rFonts w:eastAsia="Times New Roman" w:cs="Arial"/>
          <w:bCs/>
          <w:iCs/>
          <w:sz w:val="24"/>
          <w:szCs w:val="24"/>
          <w:lang w:eastAsia="fr-FR"/>
        </w:rPr>
        <w:t>128.725,5</w:t>
      </w:r>
      <w:r w:rsidR="002E038C" w:rsidRPr="00C11169">
        <w:rPr>
          <w:rFonts w:eastAsia="Times New Roman" w:cs="Arial"/>
          <w:bCs/>
          <w:iCs/>
          <w:sz w:val="24"/>
          <w:szCs w:val="24"/>
          <w:lang w:eastAsia="fr-FR"/>
        </w:rPr>
        <w:t xml:space="preserve"> MBIF) </w:t>
      </w:r>
      <w:r w:rsidR="00652DCC" w:rsidRPr="00C11169">
        <w:rPr>
          <w:rFonts w:eastAsia="Times New Roman" w:cs="Arial"/>
          <w:bCs/>
          <w:iCs/>
          <w:sz w:val="24"/>
          <w:szCs w:val="24"/>
          <w:lang w:eastAsia="fr-FR"/>
        </w:rPr>
        <w:t>qui a</w:t>
      </w:r>
      <w:r w:rsidR="002E038C" w:rsidRPr="00C11169">
        <w:rPr>
          <w:rFonts w:eastAsia="Times New Roman" w:cs="Arial"/>
          <w:bCs/>
          <w:iCs/>
          <w:sz w:val="24"/>
          <w:szCs w:val="24"/>
          <w:lang w:eastAsia="fr-FR"/>
        </w:rPr>
        <w:t xml:space="preserve"> contrebalancé la baisse de l’encours des Bons et Obligations du Trésor détenus par les banques commerciales (-25.416,7 MBIF) et l’accroissement des dépôts du secteur gouvernemental (</w:t>
      </w:r>
      <w:r w:rsidR="00E00C4C" w:rsidRPr="00C11169">
        <w:rPr>
          <w:rFonts w:eastAsia="Times New Roman" w:cs="Arial"/>
          <w:bCs/>
          <w:iCs/>
          <w:sz w:val="24"/>
          <w:szCs w:val="24"/>
          <w:lang w:eastAsia="fr-FR"/>
        </w:rPr>
        <w:t>+</w:t>
      </w:r>
      <w:r w:rsidR="002E038C" w:rsidRPr="00C11169">
        <w:rPr>
          <w:rFonts w:eastAsia="Times New Roman" w:cs="Arial"/>
          <w:bCs/>
          <w:iCs/>
          <w:sz w:val="24"/>
          <w:szCs w:val="24"/>
          <w:lang w:eastAsia="fr-FR"/>
        </w:rPr>
        <w:t>47.179,4 MBIF).</w:t>
      </w:r>
      <w:r w:rsidR="002E32C1">
        <w:rPr>
          <w:rFonts w:eastAsia="Times New Roman" w:cs="Arial"/>
          <w:bCs/>
          <w:iCs/>
          <w:sz w:val="24"/>
          <w:szCs w:val="24"/>
          <w:lang w:eastAsia="fr-FR"/>
        </w:rPr>
        <w:t>1</w:t>
      </w:r>
    </w:p>
    <w:p w:rsidR="007729C5" w:rsidRPr="00C11169" w:rsidRDefault="002E038C" w:rsidP="007729C5">
      <w:pPr>
        <w:jc w:val="both"/>
        <w:rPr>
          <w:rFonts w:eastAsia="Times New Roman" w:cs="Arial"/>
          <w:bCs/>
          <w:sz w:val="24"/>
          <w:szCs w:val="24"/>
          <w:lang w:eastAsia="fr-FR"/>
        </w:rPr>
      </w:pPr>
      <w:r w:rsidRPr="00C11169">
        <w:rPr>
          <w:rFonts w:eastAsia="Times New Roman" w:cs="Arial"/>
          <w:bCs/>
          <w:iCs/>
          <w:sz w:val="24"/>
          <w:szCs w:val="24"/>
          <w:lang w:eastAsia="fr-FR"/>
        </w:rPr>
        <w:t>L’expansion des créances sur l’économie a concerné principalement</w:t>
      </w:r>
      <w:r w:rsidR="009E02CA" w:rsidRPr="00C11169">
        <w:rPr>
          <w:rFonts w:eastAsia="Times New Roman" w:cs="Arial"/>
          <w:bCs/>
          <w:iCs/>
          <w:sz w:val="24"/>
          <w:szCs w:val="24"/>
          <w:lang w:eastAsia="fr-FR"/>
        </w:rPr>
        <w:t xml:space="preserve"> les crédits </w:t>
      </w:r>
      <w:r w:rsidRPr="00C11169">
        <w:rPr>
          <w:rFonts w:eastAsia="Times New Roman" w:cs="Arial"/>
          <w:bCs/>
          <w:iCs/>
          <w:sz w:val="24"/>
          <w:szCs w:val="24"/>
          <w:lang w:eastAsia="fr-FR"/>
        </w:rPr>
        <w:t>de trésorerie (</w:t>
      </w:r>
      <w:r w:rsidR="00C619D4" w:rsidRPr="00C11169">
        <w:rPr>
          <w:rFonts w:eastAsia="Times New Roman" w:cs="Arial"/>
          <w:bCs/>
          <w:iCs/>
          <w:sz w:val="24"/>
          <w:szCs w:val="24"/>
          <w:lang w:eastAsia="fr-FR"/>
        </w:rPr>
        <w:t>+62.874,7 MBIF)</w:t>
      </w:r>
      <w:r w:rsidR="00652DCC" w:rsidRPr="00C11169">
        <w:rPr>
          <w:rFonts w:eastAsia="Times New Roman" w:cs="Arial"/>
          <w:bCs/>
          <w:iCs/>
          <w:sz w:val="24"/>
          <w:szCs w:val="24"/>
          <w:lang w:eastAsia="fr-FR"/>
        </w:rPr>
        <w:t xml:space="preserve"> et</w:t>
      </w:r>
      <w:r w:rsidR="00F73948" w:rsidRPr="00C11169">
        <w:rPr>
          <w:rFonts w:eastAsia="Times New Roman" w:cs="Arial"/>
          <w:bCs/>
          <w:iCs/>
          <w:sz w:val="24"/>
          <w:szCs w:val="24"/>
          <w:lang w:eastAsia="fr-FR"/>
        </w:rPr>
        <w:t xml:space="preserve"> les financements à moyen (+14.677,9 MBIF) et long termes (+5.761,8 MBIF</w:t>
      </w:r>
      <w:r w:rsidR="009E02CA" w:rsidRPr="00C11169">
        <w:rPr>
          <w:rFonts w:eastAsia="Times New Roman" w:cs="Arial"/>
          <w:bCs/>
          <w:iCs/>
          <w:sz w:val="24"/>
          <w:szCs w:val="24"/>
          <w:lang w:eastAsia="fr-FR"/>
        </w:rPr>
        <w:t xml:space="preserve">). </w:t>
      </w:r>
    </w:p>
    <w:p w:rsidR="00C351CC" w:rsidRDefault="007729C5" w:rsidP="00C351CC">
      <w:pPr>
        <w:spacing w:after="240"/>
        <w:jc w:val="both"/>
        <w:rPr>
          <w:sz w:val="24"/>
          <w:szCs w:val="24"/>
        </w:rPr>
      </w:pPr>
      <w:r w:rsidRPr="00C11169">
        <w:rPr>
          <w:rFonts w:eastAsia="Times New Roman" w:cs="Arial"/>
          <w:bCs/>
          <w:iCs/>
          <w:sz w:val="24"/>
          <w:szCs w:val="24"/>
          <w:lang w:eastAsia="fr-FR"/>
        </w:rPr>
        <w:lastRenderedPageBreak/>
        <w:t xml:space="preserve">Revenant de </w:t>
      </w:r>
      <w:r w:rsidR="00E33830" w:rsidRPr="00C11169">
        <w:rPr>
          <w:rFonts w:eastAsia="Times New Roman" w:cs="Arial"/>
          <w:bCs/>
          <w:sz w:val="24"/>
          <w:szCs w:val="24"/>
          <w:lang w:eastAsia="fr-FR"/>
        </w:rPr>
        <w:t>54.</w:t>
      </w:r>
      <w:r w:rsidRPr="00C11169">
        <w:rPr>
          <w:rFonts w:eastAsia="Times New Roman" w:cs="Arial"/>
          <w:bCs/>
          <w:sz w:val="24"/>
          <w:szCs w:val="24"/>
          <w:lang w:eastAsia="fr-FR"/>
        </w:rPr>
        <w:t xml:space="preserve">336,4 à </w:t>
      </w:r>
      <w:r w:rsidR="00E33830" w:rsidRPr="00C11169">
        <w:rPr>
          <w:rFonts w:eastAsia="Times New Roman" w:cs="Arial"/>
          <w:bCs/>
          <w:sz w:val="24"/>
          <w:szCs w:val="24"/>
          <w:lang w:eastAsia="fr-FR"/>
        </w:rPr>
        <w:t xml:space="preserve">37.689,3 MBIF, les avoirs extérieurs nets ont diminué de </w:t>
      </w:r>
      <w:r w:rsidR="007F721D" w:rsidRPr="00C11169">
        <w:rPr>
          <w:rFonts w:eastAsia="Times New Roman" w:cs="Arial"/>
          <w:bCs/>
          <w:sz w:val="24"/>
          <w:szCs w:val="24"/>
          <w:lang w:eastAsia="fr-FR"/>
        </w:rPr>
        <w:t>16.</w:t>
      </w:r>
      <w:r w:rsidR="00E33830" w:rsidRPr="00C11169">
        <w:rPr>
          <w:rFonts w:eastAsia="Times New Roman" w:cs="Arial"/>
          <w:bCs/>
          <w:sz w:val="24"/>
          <w:szCs w:val="24"/>
          <w:lang w:eastAsia="fr-FR"/>
        </w:rPr>
        <w:t>647,1 MBIF, soit -30,6 p.c. Exprimées en dollars américains, les réserves de change nettes on</w:t>
      </w:r>
      <w:r w:rsidR="00BF491C" w:rsidRPr="00C11169">
        <w:rPr>
          <w:rFonts w:eastAsia="Times New Roman" w:cs="Arial"/>
          <w:bCs/>
          <w:sz w:val="24"/>
          <w:szCs w:val="24"/>
          <w:lang w:eastAsia="fr-FR"/>
        </w:rPr>
        <w:t>t</w:t>
      </w:r>
      <w:r w:rsidR="00E33830" w:rsidRPr="00C11169">
        <w:rPr>
          <w:rFonts w:eastAsia="Times New Roman" w:cs="Arial"/>
          <w:bCs/>
          <w:sz w:val="24"/>
          <w:szCs w:val="24"/>
          <w:lang w:eastAsia="fr-FR"/>
        </w:rPr>
        <w:t xml:space="preserve"> également baissé de </w:t>
      </w:r>
      <w:r w:rsidR="00BF491C" w:rsidRPr="00C11169">
        <w:rPr>
          <w:rFonts w:eastAsia="Times New Roman" w:cs="Arial"/>
          <w:bCs/>
          <w:sz w:val="24"/>
          <w:szCs w:val="24"/>
          <w:lang w:eastAsia="fr-FR"/>
        </w:rPr>
        <w:t>14,</w:t>
      </w:r>
      <w:r w:rsidR="007F721D" w:rsidRPr="00C11169">
        <w:rPr>
          <w:rFonts w:eastAsia="Times New Roman" w:cs="Arial"/>
          <w:bCs/>
          <w:sz w:val="24"/>
          <w:szCs w:val="24"/>
          <w:lang w:eastAsia="fr-FR"/>
        </w:rPr>
        <w:t xml:space="preserve">8 p.c., se fixant </w:t>
      </w:r>
      <w:r w:rsidR="00A14C32" w:rsidRPr="00C11169">
        <w:rPr>
          <w:rFonts w:eastAsia="Times New Roman" w:cs="Arial"/>
          <w:bCs/>
          <w:sz w:val="24"/>
          <w:szCs w:val="24"/>
          <w:lang w:eastAsia="fr-FR"/>
        </w:rPr>
        <w:t xml:space="preserve">à </w:t>
      </w:r>
      <w:r w:rsidR="007F721D" w:rsidRPr="00C11169">
        <w:rPr>
          <w:rFonts w:eastAsia="Times New Roman" w:cs="Arial"/>
          <w:bCs/>
          <w:sz w:val="24"/>
          <w:szCs w:val="24"/>
          <w:lang w:eastAsia="fr-FR"/>
        </w:rPr>
        <w:t xml:space="preserve">24,0 contre 38,8 millions de dollars à fin </w:t>
      </w:r>
      <w:r w:rsidR="00A14C32" w:rsidRPr="00C11169">
        <w:rPr>
          <w:rFonts w:eastAsia="Times New Roman" w:cs="Arial"/>
          <w:bCs/>
          <w:sz w:val="24"/>
          <w:szCs w:val="24"/>
          <w:lang w:eastAsia="fr-FR"/>
        </w:rPr>
        <w:t>mars 2012</w:t>
      </w:r>
      <w:r w:rsidR="007F721D" w:rsidRPr="00C11169">
        <w:rPr>
          <w:rFonts w:eastAsia="Times New Roman" w:cs="Arial"/>
          <w:bCs/>
          <w:sz w:val="24"/>
          <w:szCs w:val="24"/>
          <w:lang w:eastAsia="fr-FR"/>
        </w:rPr>
        <w:t>.</w:t>
      </w:r>
      <w:bookmarkStart w:id="43" w:name="_Toc357154660"/>
      <w:r w:rsidR="00C53C8A" w:rsidRPr="00C11169">
        <w:rPr>
          <w:sz w:val="24"/>
          <w:szCs w:val="24"/>
        </w:rPr>
        <w:t xml:space="preserve"> </w:t>
      </w:r>
      <w:bookmarkStart w:id="44" w:name="_Toc357431343"/>
    </w:p>
    <w:p w:rsidR="00774C58" w:rsidRPr="00C351CC" w:rsidRDefault="00774C58" w:rsidP="00C351CC">
      <w:pPr>
        <w:spacing w:after="120"/>
        <w:jc w:val="both"/>
        <w:rPr>
          <w:b/>
          <w:color w:val="0070C0"/>
          <w:sz w:val="24"/>
          <w:szCs w:val="24"/>
          <w:lang w:val="fr-BE"/>
        </w:rPr>
      </w:pPr>
      <w:r w:rsidRPr="00C351CC">
        <w:rPr>
          <w:b/>
          <w:color w:val="0070C0"/>
          <w:sz w:val="24"/>
          <w:szCs w:val="24"/>
          <w:lang w:val="fr-BE"/>
        </w:rPr>
        <w:t>VI. COMMERCE EXTERIEUR</w:t>
      </w:r>
      <w:bookmarkEnd w:id="43"/>
      <w:bookmarkEnd w:id="44"/>
    </w:p>
    <w:p w:rsidR="00774C58" w:rsidRPr="00C11169" w:rsidRDefault="00774C58" w:rsidP="00BC759B">
      <w:pPr>
        <w:pStyle w:val="Titre2"/>
        <w:spacing w:after="120"/>
        <w:rPr>
          <w:rFonts w:asciiTheme="minorHAnsi" w:hAnsiTheme="minorHAnsi"/>
          <w:sz w:val="24"/>
          <w:szCs w:val="24"/>
          <w:lang w:val="fr-BE"/>
        </w:rPr>
      </w:pPr>
      <w:bookmarkStart w:id="45" w:name="_Toc357154661"/>
      <w:bookmarkStart w:id="46" w:name="_Toc357430880"/>
      <w:bookmarkStart w:id="47" w:name="_Toc357431344"/>
      <w:r w:rsidRPr="00C11169">
        <w:rPr>
          <w:rFonts w:asciiTheme="minorHAnsi" w:hAnsiTheme="minorHAnsi"/>
          <w:sz w:val="24"/>
          <w:szCs w:val="24"/>
          <w:lang w:val="fr-BE"/>
        </w:rPr>
        <w:t>Exportations</w:t>
      </w:r>
      <w:bookmarkEnd w:id="45"/>
      <w:bookmarkEnd w:id="46"/>
      <w:bookmarkEnd w:id="47"/>
    </w:p>
    <w:p w:rsidR="00774C58" w:rsidRPr="00C11169" w:rsidRDefault="002F26E3" w:rsidP="007C78DB">
      <w:pPr>
        <w:spacing w:after="120"/>
        <w:jc w:val="both"/>
        <w:rPr>
          <w:rFonts w:cs="Calibri"/>
          <w:sz w:val="24"/>
          <w:szCs w:val="24"/>
          <w:lang w:val="fr-BE"/>
        </w:rPr>
      </w:pPr>
      <w:r>
        <w:rPr>
          <w:rFonts w:cs="Calibri"/>
          <w:sz w:val="24"/>
          <w:szCs w:val="24"/>
          <w:lang w:val="fr-BE"/>
        </w:rPr>
        <w:t>En glissement annuel,</w:t>
      </w:r>
      <w:r w:rsidR="00774C58" w:rsidRPr="00C11169">
        <w:rPr>
          <w:rFonts w:cs="Calibri"/>
          <w:sz w:val="24"/>
          <w:szCs w:val="24"/>
          <w:lang w:val="fr-BE"/>
        </w:rPr>
        <w:t xml:space="preserve"> les exportations cumulées à fin mars 2013 ont augmenté de 1,4 p.c. en valeur et de 17,1 p.c. en volume, passant de 32.998,3 à 33.464,3 MBIF et de 9.100 à 10.653 T respectivement.</w:t>
      </w:r>
    </w:p>
    <w:p w:rsidR="00774C58" w:rsidRPr="00C11169" w:rsidRDefault="00774C58" w:rsidP="007C78DB">
      <w:pPr>
        <w:spacing w:after="120"/>
        <w:jc w:val="both"/>
        <w:rPr>
          <w:rFonts w:cs="Calibri"/>
          <w:sz w:val="24"/>
          <w:szCs w:val="24"/>
          <w:lang w:val="fr-BE"/>
        </w:rPr>
      </w:pPr>
      <w:r w:rsidRPr="00C11169">
        <w:rPr>
          <w:rFonts w:cs="Calibri"/>
          <w:sz w:val="24"/>
          <w:szCs w:val="24"/>
          <w:lang w:val="fr-BE"/>
        </w:rPr>
        <w:t xml:space="preserve">L’accroissement en valeur a résulté des expéditions de café marchand (14.103,5 contre 13.681,5 MBIF),  du thé (9.284,8 contre 3.126,7 MBIF), de la bière de la BRARUDI (1.369,1 contre 901,0 MBIF) et des savons (2.936,5 contre 1.303,5 MBIF). </w:t>
      </w:r>
    </w:p>
    <w:p w:rsidR="00774C58" w:rsidRPr="00C11169" w:rsidRDefault="00774C58" w:rsidP="00774C58">
      <w:pPr>
        <w:jc w:val="both"/>
        <w:rPr>
          <w:rFonts w:cs="Calibri"/>
          <w:sz w:val="24"/>
          <w:szCs w:val="24"/>
          <w:lang w:val="fr-BE"/>
        </w:rPr>
      </w:pPr>
      <w:r w:rsidRPr="00C11169">
        <w:rPr>
          <w:rFonts w:cs="Calibri"/>
          <w:sz w:val="24"/>
          <w:szCs w:val="24"/>
          <w:lang w:val="fr-BE"/>
        </w:rPr>
        <w:t>En volume, la hausse a porté principalement sur le café (4.025 contre 3.080 T), les savons (1.955 contre 966 T), et les autres articles (641 contre 232 T).</w:t>
      </w:r>
    </w:p>
    <w:p w:rsidR="00774C58" w:rsidRPr="00C11169" w:rsidRDefault="00774C58" w:rsidP="007C78DB">
      <w:pPr>
        <w:spacing w:after="120"/>
        <w:jc w:val="both"/>
        <w:rPr>
          <w:b/>
          <w:sz w:val="24"/>
          <w:szCs w:val="24"/>
        </w:rPr>
      </w:pPr>
      <w:r w:rsidRPr="00C11169">
        <w:rPr>
          <w:sz w:val="24"/>
          <w:szCs w:val="24"/>
          <w:lang w:val="fr-BE"/>
        </w:rPr>
        <w:t>Par rapport à Février 2013, les exportations ont enregistré une diminution de 8,1 p.c. en valeur (8.958,8 contre 9.745,8 MBIF) contre une augmentation de 19,6 p.c. en volume (3.386 contre 2.832 T).</w:t>
      </w:r>
      <w:r w:rsidR="007C78DB" w:rsidRPr="00C11169">
        <w:rPr>
          <w:b/>
          <w:sz w:val="24"/>
          <w:szCs w:val="24"/>
        </w:rPr>
        <w:t xml:space="preserve"> </w:t>
      </w:r>
    </w:p>
    <w:p w:rsidR="00774C58" w:rsidRPr="00C11169" w:rsidRDefault="00774C58" w:rsidP="00C11169">
      <w:pPr>
        <w:pStyle w:val="Titre2"/>
        <w:spacing w:after="120"/>
        <w:rPr>
          <w:rFonts w:asciiTheme="minorHAnsi" w:hAnsiTheme="minorHAnsi"/>
          <w:sz w:val="24"/>
          <w:szCs w:val="24"/>
        </w:rPr>
      </w:pPr>
      <w:bookmarkStart w:id="48" w:name="_Toc357154662"/>
      <w:bookmarkStart w:id="49" w:name="_Toc357430881"/>
      <w:bookmarkStart w:id="50" w:name="_Toc357431345"/>
      <w:r w:rsidRPr="00C11169">
        <w:rPr>
          <w:rFonts w:asciiTheme="minorHAnsi" w:hAnsiTheme="minorHAnsi"/>
          <w:sz w:val="24"/>
          <w:szCs w:val="24"/>
        </w:rPr>
        <w:t>Importations</w:t>
      </w:r>
      <w:bookmarkEnd w:id="48"/>
      <w:bookmarkEnd w:id="49"/>
      <w:bookmarkEnd w:id="50"/>
    </w:p>
    <w:p w:rsidR="00774C58" w:rsidRPr="00C11169" w:rsidRDefault="00774C58" w:rsidP="007C78DB">
      <w:pPr>
        <w:spacing w:after="120"/>
        <w:jc w:val="both"/>
        <w:rPr>
          <w:sz w:val="24"/>
          <w:szCs w:val="24"/>
        </w:rPr>
      </w:pPr>
      <w:r w:rsidRPr="00C11169">
        <w:rPr>
          <w:sz w:val="24"/>
          <w:szCs w:val="24"/>
        </w:rPr>
        <w:t>Par rapport à  mars 2012, les mises en consommation cumulées ont augmenté de 43,3 p.c. en valeur (338.199,4 contre 235.952,5 MBIF) et de 16,8 p.c. en volume (184.519 contre 157.970 T).</w:t>
      </w:r>
    </w:p>
    <w:p w:rsidR="00774C58" w:rsidRPr="00C11169" w:rsidRDefault="00774C58" w:rsidP="007C78DB">
      <w:pPr>
        <w:spacing w:after="120"/>
        <w:jc w:val="both"/>
        <w:rPr>
          <w:sz w:val="24"/>
          <w:szCs w:val="24"/>
        </w:rPr>
      </w:pPr>
      <w:r w:rsidRPr="00C11169">
        <w:rPr>
          <w:sz w:val="24"/>
          <w:szCs w:val="24"/>
        </w:rPr>
        <w:lastRenderedPageBreak/>
        <w:t>Cette augmentation s’explique par l’accroissement des importations des biens de production (141.354,6 contre 105.717,6 MBIF), d’équipement (108.540,7 contre 52.636,8 MBIF) et de consommation (88.304,1 contre 77.598,0 MBIF).</w:t>
      </w:r>
    </w:p>
    <w:p w:rsidR="00774C58" w:rsidRPr="00C11169" w:rsidRDefault="00774C58" w:rsidP="007C78DB">
      <w:pPr>
        <w:spacing w:after="120"/>
        <w:jc w:val="both"/>
        <w:rPr>
          <w:sz w:val="24"/>
          <w:szCs w:val="24"/>
        </w:rPr>
      </w:pPr>
      <w:r w:rsidRPr="00C11169">
        <w:rPr>
          <w:sz w:val="24"/>
          <w:szCs w:val="24"/>
        </w:rPr>
        <w:t>La hausse des importations des biens de production est liée aux importations des biens destinés à la métallurgie (13.400,8 contre 9.671,2 MBIF), à l’agriculture et l’élevage (12.043,5 contre 7.763,5 MBIF), à l’alimentation (22.224,7 contre 14.247,4 MBIF) et des huiles minérales (65.929,4 contre 46.535,8 MBIF).</w:t>
      </w:r>
    </w:p>
    <w:p w:rsidR="00774C58" w:rsidRPr="00C11169" w:rsidRDefault="00774C58" w:rsidP="007C78DB">
      <w:pPr>
        <w:spacing w:after="120"/>
        <w:jc w:val="both"/>
        <w:rPr>
          <w:sz w:val="24"/>
          <w:szCs w:val="24"/>
        </w:rPr>
      </w:pPr>
      <w:r w:rsidRPr="00C11169">
        <w:rPr>
          <w:sz w:val="24"/>
          <w:szCs w:val="24"/>
        </w:rPr>
        <w:t>S’agissant des biens d’équipement, la hausse a principalement concerné les chaudières  et engins mécaniques (37.061,5 contre 22.349,4 MBIF)  et les tracteurs, véhicules et engins pour le transport (52.895,8 contre 13.107,5 MBIF).</w:t>
      </w:r>
    </w:p>
    <w:p w:rsidR="00774C58" w:rsidRPr="00C11169" w:rsidRDefault="00774C58" w:rsidP="00774C58">
      <w:pPr>
        <w:jc w:val="both"/>
        <w:rPr>
          <w:sz w:val="24"/>
          <w:szCs w:val="24"/>
        </w:rPr>
      </w:pPr>
      <w:r w:rsidRPr="00C11169">
        <w:rPr>
          <w:sz w:val="24"/>
          <w:szCs w:val="24"/>
        </w:rPr>
        <w:t>Les importations des biens de consommation ont été marquées par l’augmentation des biens durables (36.686 contre 31.010,4 MBIF) et non durables (51.618,1 contre 46.587,7 MBIF).</w:t>
      </w:r>
    </w:p>
    <w:p w:rsidR="00BC759B" w:rsidRDefault="00774C58" w:rsidP="00BC759B">
      <w:pPr>
        <w:spacing w:after="120"/>
        <w:jc w:val="both"/>
        <w:rPr>
          <w:sz w:val="24"/>
          <w:szCs w:val="24"/>
        </w:rPr>
      </w:pPr>
      <w:r w:rsidRPr="00C11169">
        <w:rPr>
          <w:sz w:val="24"/>
          <w:szCs w:val="24"/>
        </w:rPr>
        <w:t>Par rapport au mois de février 2013, les mises en consommation ont augmenté de 43,1 p.c. en valeur  passant de 89.744,0 à 128.412,7 MBIF pendant qu’elles se sont contractées en volume (31,3 p.c.), revenant de 67.453 à 46.323 T.</w:t>
      </w:r>
      <w:bookmarkStart w:id="51" w:name="_Toc357154663"/>
      <w:bookmarkStart w:id="52" w:name="_Toc357431346"/>
    </w:p>
    <w:p w:rsidR="00774C58" w:rsidRPr="00BC759B" w:rsidRDefault="00774C58" w:rsidP="00BC759B">
      <w:pPr>
        <w:spacing w:after="120"/>
        <w:jc w:val="both"/>
        <w:rPr>
          <w:b/>
          <w:color w:val="0070C0"/>
          <w:sz w:val="24"/>
          <w:szCs w:val="24"/>
        </w:rPr>
      </w:pPr>
      <w:r w:rsidRPr="00BC759B">
        <w:rPr>
          <w:b/>
          <w:color w:val="0070C0"/>
          <w:sz w:val="24"/>
          <w:szCs w:val="24"/>
        </w:rPr>
        <w:t>VII.TAUX DE CHANGE</w:t>
      </w:r>
      <w:bookmarkEnd w:id="51"/>
      <w:bookmarkEnd w:id="52"/>
    </w:p>
    <w:p w:rsidR="00774C58" w:rsidRPr="00C11169" w:rsidRDefault="00774C58" w:rsidP="007C78DB">
      <w:pPr>
        <w:spacing w:after="120"/>
        <w:jc w:val="both"/>
        <w:rPr>
          <w:sz w:val="24"/>
          <w:szCs w:val="24"/>
        </w:rPr>
      </w:pPr>
      <w:r w:rsidRPr="00C11169">
        <w:rPr>
          <w:sz w:val="24"/>
          <w:szCs w:val="24"/>
        </w:rPr>
        <w:t xml:space="preserve">Le taux de change moyen du franc </w:t>
      </w:r>
      <w:proofErr w:type="spellStart"/>
      <w:r w:rsidRPr="00C11169">
        <w:rPr>
          <w:sz w:val="24"/>
          <w:szCs w:val="24"/>
        </w:rPr>
        <w:t>burundi</w:t>
      </w:r>
      <w:proofErr w:type="spellEnd"/>
      <w:r w:rsidRPr="00C11169">
        <w:rPr>
          <w:sz w:val="24"/>
          <w:szCs w:val="24"/>
        </w:rPr>
        <w:t xml:space="preserve"> de mars 2013 s’est déprécié de 12,3 p.c.,  s’établissant  à 1.578,7 BIF pour un dollar américain contre 1.405,4 BIF au mois correspondant de l’année précédente. </w:t>
      </w:r>
      <w:r w:rsidRPr="00C11169">
        <w:rPr>
          <w:sz w:val="24"/>
          <w:szCs w:val="24"/>
        </w:rPr>
        <w:lastRenderedPageBreak/>
        <w:t>Cependant, par rapport au mois de février 2013, la monnaie burundaise s’est appréciée de 3,4 p.c., se fixant à 1.578,7 contre 1.634,0 BIF pour un dollar américain.</w:t>
      </w:r>
    </w:p>
    <w:p w:rsidR="00C351CC" w:rsidRDefault="00774C58" w:rsidP="00C351CC">
      <w:pPr>
        <w:spacing w:after="240"/>
        <w:jc w:val="both"/>
        <w:rPr>
          <w:sz w:val="24"/>
          <w:szCs w:val="24"/>
        </w:rPr>
      </w:pPr>
      <w:r w:rsidRPr="00C11169">
        <w:rPr>
          <w:sz w:val="24"/>
          <w:szCs w:val="24"/>
        </w:rPr>
        <w:t xml:space="preserve">En fin de période, le franc </w:t>
      </w:r>
      <w:proofErr w:type="spellStart"/>
      <w:r w:rsidRPr="00C11169">
        <w:rPr>
          <w:sz w:val="24"/>
          <w:szCs w:val="24"/>
        </w:rPr>
        <w:t>burundi</w:t>
      </w:r>
      <w:proofErr w:type="spellEnd"/>
      <w:r w:rsidRPr="00C11169">
        <w:rPr>
          <w:sz w:val="24"/>
          <w:szCs w:val="24"/>
        </w:rPr>
        <w:t xml:space="preserve"> s’est déprécié de 12,3 p.c. face à la devise américaine par rapport au mois correspondant de l’année précédente (1.571,7 contre 1.399,2 BIF). En revanche, il s’est apprécié de 8,5 p.c. par rapport au mois précédent, revenant de 1.717,6 à 1.571,7 BIF pour un dollar américain.</w:t>
      </w:r>
      <w:bookmarkStart w:id="53" w:name="_Toc357431347"/>
    </w:p>
    <w:p w:rsidR="00C53C8A" w:rsidRPr="00C351CC" w:rsidRDefault="00C53C8A" w:rsidP="00C351CC">
      <w:pPr>
        <w:spacing w:after="120"/>
        <w:ind w:right="-71"/>
        <w:jc w:val="both"/>
        <w:rPr>
          <w:b/>
          <w:color w:val="0070C0"/>
          <w:sz w:val="24"/>
          <w:szCs w:val="24"/>
        </w:rPr>
      </w:pPr>
      <w:r w:rsidRPr="00C351CC">
        <w:rPr>
          <w:b/>
          <w:color w:val="0070C0"/>
          <w:sz w:val="24"/>
          <w:szCs w:val="24"/>
        </w:rPr>
        <w:t>VI</w:t>
      </w:r>
      <w:r w:rsidR="00561032" w:rsidRPr="00C351CC">
        <w:rPr>
          <w:b/>
          <w:color w:val="0070C0"/>
          <w:sz w:val="24"/>
          <w:szCs w:val="24"/>
        </w:rPr>
        <w:t>I</w:t>
      </w:r>
      <w:r w:rsidR="009056AA" w:rsidRPr="00C351CC">
        <w:rPr>
          <w:b/>
          <w:color w:val="0070C0"/>
          <w:sz w:val="24"/>
          <w:szCs w:val="24"/>
        </w:rPr>
        <w:t>I</w:t>
      </w:r>
      <w:r w:rsidR="00C351CC">
        <w:rPr>
          <w:b/>
          <w:color w:val="0070C0"/>
          <w:sz w:val="24"/>
          <w:szCs w:val="24"/>
        </w:rPr>
        <w:t>.</w:t>
      </w:r>
      <w:r w:rsidRPr="00C351CC">
        <w:rPr>
          <w:b/>
          <w:color w:val="0070C0"/>
          <w:sz w:val="24"/>
          <w:szCs w:val="24"/>
        </w:rPr>
        <w:t>PRINCIPAUX</w:t>
      </w:r>
      <w:r w:rsidR="00C351CC">
        <w:rPr>
          <w:b/>
          <w:color w:val="0070C0"/>
          <w:sz w:val="24"/>
          <w:szCs w:val="24"/>
        </w:rPr>
        <w:t xml:space="preserve"> </w:t>
      </w:r>
      <w:r w:rsidRPr="00C351CC">
        <w:rPr>
          <w:b/>
          <w:color w:val="0070C0"/>
          <w:sz w:val="24"/>
          <w:szCs w:val="24"/>
        </w:rPr>
        <w:t xml:space="preserve">INDICATEURS </w:t>
      </w:r>
      <w:r w:rsidR="00C351CC">
        <w:rPr>
          <w:b/>
          <w:color w:val="0070C0"/>
          <w:sz w:val="24"/>
          <w:szCs w:val="24"/>
        </w:rPr>
        <w:t>D</w:t>
      </w:r>
      <w:r w:rsidRPr="00C351CC">
        <w:rPr>
          <w:b/>
          <w:color w:val="0070C0"/>
          <w:sz w:val="24"/>
          <w:szCs w:val="24"/>
        </w:rPr>
        <w:t>’ACTIVITE   DU SECTEUR BANCAIRE</w:t>
      </w:r>
      <w:bookmarkEnd w:id="53"/>
    </w:p>
    <w:p w:rsidR="00C53C8A" w:rsidRPr="00C11169" w:rsidRDefault="00C53C8A" w:rsidP="00C11169">
      <w:pPr>
        <w:pStyle w:val="Titre2"/>
        <w:spacing w:after="120"/>
        <w:rPr>
          <w:rFonts w:asciiTheme="minorHAnsi" w:hAnsiTheme="minorHAnsi"/>
          <w:sz w:val="24"/>
          <w:szCs w:val="24"/>
        </w:rPr>
      </w:pPr>
      <w:bookmarkStart w:id="54" w:name="_Toc357430882"/>
      <w:bookmarkStart w:id="55" w:name="_Toc357431348"/>
      <w:r w:rsidRPr="00C11169">
        <w:rPr>
          <w:rFonts w:asciiTheme="minorHAnsi" w:hAnsiTheme="minorHAnsi"/>
          <w:sz w:val="24"/>
          <w:szCs w:val="24"/>
        </w:rPr>
        <w:t>Principaux Emplois</w:t>
      </w:r>
      <w:bookmarkEnd w:id="54"/>
      <w:bookmarkEnd w:id="55"/>
      <w:r w:rsidRPr="00C11169">
        <w:rPr>
          <w:rFonts w:asciiTheme="minorHAnsi" w:hAnsiTheme="minorHAnsi"/>
          <w:sz w:val="24"/>
          <w:szCs w:val="24"/>
        </w:rPr>
        <w:t xml:space="preserve"> </w:t>
      </w:r>
    </w:p>
    <w:p w:rsidR="00C53C8A" w:rsidRPr="00C11169" w:rsidRDefault="00C53C8A" w:rsidP="00C53C8A">
      <w:pPr>
        <w:pStyle w:val="Titre"/>
        <w:spacing w:after="120"/>
        <w:jc w:val="both"/>
        <w:rPr>
          <w:rFonts w:asciiTheme="minorHAnsi" w:hAnsiTheme="minorHAnsi"/>
          <w:b w:val="0"/>
          <w:bCs w:val="0"/>
          <w:u w:val="none"/>
        </w:rPr>
      </w:pPr>
      <w:r w:rsidRPr="00C11169">
        <w:rPr>
          <w:rFonts w:asciiTheme="minorHAnsi" w:hAnsiTheme="minorHAnsi"/>
          <w:b w:val="0"/>
          <w:bCs w:val="0"/>
          <w:u w:val="none"/>
        </w:rPr>
        <w:t>A fin mars 2013, les principaux emplois consolidés de l’ensemble du secteur bancaire ont augmenté par rapport à fin mars 2012, passant de 894 998,3 à 1 027 126,9 MBIF, soit un accroissement de 14,8 p.c.</w:t>
      </w:r>
    </w:p>
    <w:p w:rsidR="00C53C8A" w:rsidRPr="00C11169" w:rsidRDefault="00C53C8A" w:rsidP="00C53C8A">
      <w:pPr>
        <w:pStyle w:val="Titre"/>
        <w:spacing w:after="120"/>
        <w:jc w:val="both"/>
        <w:rPr>
          <w:rFonts w:asciiTheme="minorHAnsi" w:hAnsiTheme="minorHAnsi"/>
          <w:b w:val="0"/>
          <w:bCs w:val="0"/>
          <w:u w:val="none"/>
        </w:rPr>
      </w:pPr>
      <w:r w:rsidRPr="00C11169">
        <w:rPr>
          <w:rFonts w:asciiTheme="minorHAnsi" w:hAnsiTheme="minorHAnsi"/>
          <w:b w:val="0"/>
          <w:bCs w:val="0"/>
          <w:u w:val="none"/>
        </w:rPr>
        <w:t>Cette évolution est principalement liée à l’augmentation de la  distribution des crédits (+14,9 p.c.).</w:t>
      </w:r>
    </w:p>
    <w:p w:rsidR="00C53C8A" w:rsidRPr="00C11169" w:rsidRDefault="00C53C8A" w:rsidP="00BC759B">
      <w:pPr>
        <w:pStyle w:val="Titre2"/>
        <w:spacing w:after="120"/>
        <w:rPr>
          <w:rFonts w:asciiTheme="minorHAnsi" w:hAnsiTheme="minorHAnsi"/>
          <w:sz w:val="24"/>
          <w:szCs w:val="24"/>
        </w:rPr>
      </w:pPr>
      <w:bookmarkStart w:id="56" w:name="_Toc357430883"/>
      <w:bookmarkStart w:id="57" w:name="_Toc357431349"/>
      <w:r w:rsidRPr="00C11169">
        <w:rPr>
          <w:rFonts w:asciiTheme="minorHAnsi" w:hAnsiTheme="minorHAnsi"/>
          <w:sz w:val="24"/>
          <w:szCs w:val="24"/>
        </w:rPr>
        <w:t>Principales Ressources</w:t>
      </w:r>
      <w:bookmarkEnd w:id="56"/>
      <w:bookmarkEnd w:id="57"/>
      <w:r w:rsidRPr="00C11169">
        <w:rPr>
          <w:rFonts w:asciiTheme="minorHAnsi" w:hAnsiTheme="minorHAnsi"/>
          <w:sz w:val="24"/>
          <w:szCs w:val="24"/>
        </w:rPr>
        <w:t> </w:t>
      </w:r>
    </w:p>
    <w:p w:rsidR="00C53C8A" w:rsidRPr="00C11169" w:rsidRDefault="00C53C8A" w:rsidP="00C53C8A">
      <w:pPr>
        <w:pStyle w:val="Titre"/>
        <w:spacing w:after="120"/>
        <w:jc w:val="both"/>
        <w:rPr>
          <w:rFonts w:asciiTheme="minorHAnsi" w:hAnsiTheme="minorHAnsi"/>
          <w:b w:val="0"/>
          <w:bCs w:val="0"/>
          <w:u w:val="none"/>
        </w:rPr>
      </w:pPr>
      <w:r w:rsidRPr="00C11169">
        <w:rPr>
          <w:rFonts w:asciiTheme="minorHAnsi" w:hAnsiTheme="minorHAnsi"/>
          <w:b w:val="0"/>
          <w:bCs w:val="0"/>
          <w:u w:val="none"/>
        </w:rPr>
        <w:t xml:space="preserve"> S’établissant à 818 775,2  MBIF à fin mars 2013 contre 664 456,7 MBIF à fin mars 2012, les principales ressources du secteur ont enregistré une  progression de         23,2 p.c. Celle-ci est liée à l’accroissement des ressources provenant de la clientèle (+27,9 p.c.) et des ressources interbancaires (+37,9 p.c.). </w:t>
      </w: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Default="00C53C8A" w:rsidP="00BC759B">
      <w:pPr>
        <w:pStyle w:val="Titre2"/>
        <w:spacing w:after="120"/>
        <w:rPr>
          <w:rFonts w:asciiTheme="minorHAnsi" w:hAnsiTheme="minorHAnsi"/>
          <w:sz w:val="24"/>
          <w:szCs w:val="24"/>
        </w:rPr>
      </w:pPr>
      <w:bookmarkStart w:id="58" w:name="_Toc357430884"/>
      <w:bookmarkStart w:id="59" w:name="_Toc357431350"/>
      <w:r w:rsidRPr="00C11169">
        <w:rPr>
          <w:rFonts w:asciiTheme="minorHAnsi" w:hAnsiTheme="minorHAnsi"/>
          <w:sz w:val="24"/>
          <w:szCs w:val="24"/>
        </w:rPr>
        <w:lastRenderedPageBreak/>
        <w:t>Créances compromises</w:t>
      </w:r>
      <w:bookmarkEnd w:id="58"/>
      <w:bookmarkEnd w:id="59"/>
    </w:p>
    <w:p w:rsidR="00C53C8A" w:rsidRPr="00C11169" w:rsidRDefault="00C53C8A" w:rsidP="00C53C8A">
      <w:pPr>
        <w:pStyle w:val="Titre"/>
        <w:spacing w:after="120"/>
        <w:jc w:val="both"/>
        <w:rPr>
          <w:rFonts w:asciiTheme="minorHAnsi" w:hAnsiTheme="minorHAnsi"/>
          <w:u w:val="none"/>
        </w:rPr>
      </w:pPr>
      <w:r w:rsidRPr="00C11169">
        <w:rPr>
          <w:rFonts w:asciiTheme="minorHAnsi" w:hAnsiTheme="minorHAnsi"/>
          <w:b w:val="0"/>
          <w:bCs w:val="0"/>
          <w:u w:val="none"/>
        </w:rPr>
        <w:t>Passant de 47 961,1 à 67 188,5 MBIF de fin mars 2012 à fin mars 2013, les créances en souffrance de l’ensemble du secteur bancaire ont augmenté de 40,1 p.c</w:t>
      </w:r>
      <w:proofErr w:type="gramStart"/>
      <w:r w:rsidRPr="00C11169">
        <w:rPr>
          <w:rFonts w:asciiTheme="minorHAnsi" w:hAnsiTheme="minorHAnsi"/>
          <w:b w:val="0"/>
          <w:bCs w:val="0"/>
          <w:u w:val="none"/>
        </w:rPr>
        <w:t>..</w:t>
      </w:r>
      <w:proofErr w:type="gramEnd"/>
      <w:r w:rsidRPr="00C11169">
        <w:rPr>
          <w:rFonts w:asciiTheme="minorHAnsi" w:hAnsiTheme="minorHAnsi"/>
          <w:b w:val="0"/>
          <w:bCs w:val="0"/>
          <w:u w:val="none"/>
        </w:rPr>
        <w:t xml:space="preserve"> Ainsi, le taux de détérioration du portefeuille crédits (impayés /total crédits)  du secteur s’est inscrit en hausse, passant de 8,1 à 9,9 p.c. d’une année à l’autre.</w:t>
      </w:r>
    </w:p>
    <w:p w:rsidR="00C53C8A" w:rsidRPr="00C11169" w:rsidRDefault="00C53C8A" w:rsidP="00BC759B">
      <w:pPr>
        <w:pStyle w:val="Titre2"/>
        <w:spacing w:after="120"/>
        <w:rPr>
          <w:rFonts w:asciiTheme="minorHAnsi" w:hAnsiTheme="minorHAnsi"/>
          <w:sz w:val="24"/>
          <w:szCs w:val="24"/>
        </w:rPr>
      </w:pPr>
      <w:bookmarkStart w:id="60" w:name="_Toc357430885"/>
      <w:bookmarkStart w:id="61" w:name="_Toc357431351"/>
      <w:r w:rsidRPr="00C11169">
        <w:rPr>
          <w:rFonts w:asciiTheme="minorHAnsi" w:hAnsiTheme="minorHAnsi"/>
          <w:sz w:val="24"/>
          <w:szCs w:val="24"/>
        </w:rPr>
        <w:t>Résultat</w:t>
      </w:r>
      <w:bookmarkEnd w:id="60"/>
      <w:bookmarkEnd w:id="61"/>
    </w:p>
    <w:p w:rsidR="00C53C8A" w:rsidRPr="00C11169" w:rsidRDefault="00C53C8A" w:rsidP="00C53C8A">
      <w:pPr>
        <w:pStyle w:val="Titre"/>
        <w:spacing w:after="120"/>
        <w:jc w:val="both"/>
        <w:rPr>
          <w:rFonts w:asciiTheme="minorHAnsi" w:hAnsiTheme="minorHAnsi"/>
        </w:rPr>
      </w:pPr>
      <w:r w:rsidRPr="00C11169">
        <w:rPr>
          <w:rFonts w:asciiTheme="minorHAnsi" w:hAnsiTheme="minorHAnsi"/>
          <w:b w:val="0"/>
          <w:bCs w:val="0"/>
          <w:u w:val="none"/>
        </w:rPr>
        <w:t xml:space="preserve">Le résultat cumulé de l’ensemble du secteur bancaire (qui est la somme du résultat de l’exercice en cours et du report à nouveau) a diminué de 47,3 p.c. par rapport à fin mars 2012, revenant de 7 372,6 à 3 887,6 MBIF de fin mars 2012 à fin mars 2013. Cette diminution est essentiellement liée à l’augmentation des dotations aux provisions et des frais généraux enregistrés par les banques commerciales. </w:t>
      </w: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C53C8A" w:rsidRPr="00C11169" w:rsidRDefault="00C53C8A" w:rsidP="00C53C8A">
      <w:pPr>
        <w:pStyle w:val="Titre"/>
        <w:spacing w:after="120"/>
        <w:jc w:val="both"/>
        <w:rPr>
          <w:rFonts w:asciiTheme="minorHAnsi" w:hAnsiTheme="minorHAnsi"/>
          <w:color w:val="0070C0"/>
          <w:u w:val="none"/>
        </w:rPr>
      </w:pPr>
    </w:p>
    <w:p w:rsidR="009056AA" w:rsidRPr="00C11169" w:rsidRDefault="00C53C8A" w:rsidP="00BC759B">
      <w:pPr>
        <w:pStyle w:val="Titre2"/>
        <w:spacing w:after="120"/>
        <w:rPr>
          <w:rFonts w:asciiTheme="minorHAnsi" w:hAnsiTheme="minorHAnsi"/>
          <w:sz w:val="24"/>
          <w:szCs w:val="24"/>
        </w:rPr>
      </w:pPr>
      <w:bookmarkStart w:id="62" w:name="_Toc357430886"/>
      <w:bookmarkStart w:id="63" w:name="_Toc357431352"/>
      <w:r w:rsidRPr="00C11169">
        <w:rPr>
          <w:rFonts w:asciiTheme="minorHAnsi" w:hAnsiTheme="minorHAnsi"/>
          <w:sz w:val="24"/>
          <w:szCs w:val="24"/>
        </w:rPr>
        <w:lastRenderedPageBreak/>
        <w:t>Normes prudentielles</w:t>
      </w:r>
      <w:bookmarkEnd w:id="62"/>
      <w:bookmarkEnd w:id="63"/>
    </w:p>
    <w:p w:rsidR="00C53C8A" w:rsidRPr="00C11169" w:rsidRDefault="008839B0" w:rsidP="00C53C8A">
      <w:pPr>
        <w:pStyle w:val="Titre"/>
        <w:jc w:val="both"/>
        <w:rPr>
          <w:rFonts w:asciiTheme="minorHAnsi" w:hAnsiTheme="minorHAnsi"/>
          <w:b w:val="0"/>
          <w:bCs w:val="0"/>
          <w:u w:val="none"/>
        </w:rPr>
      </w:pPr>
      <w:r w:rsidRPr="00C11169">
        <w:rPr>
          <w:rFonts w:asciiTheme="minorHAnsi" w:hAnsiTheme="minorHAnsi"/>
          <w:b w:val="0"/>
          <w:bCs w:val="0"/>
          <w:u w:val="none"/>
        </w:rPr>
        <w:t xml:space="preserve">A fin mars 2013, </w:t>
      </w:r>
      <w:r w:rsidR="00C53C8A" w:rsidRPr="00C11169">
        <w:rPr>
          <w:rFonts w:asciiTheme="minorHAnsi" w:hAnsiTheme="minorHAnsi"/>
          <w:b w:val="0"/>
          <w:bCs w:val="0"/>
          <w:u w:val="none"/>
        </w:rPr>
        <w:t>les normes prudentielles se sont établies au-dessus des limites réglementaires. Néanmoins, comparés à ceux de  l’exercice précédent, le rapport entre les ressources stables et les emplois immobilisés a diminué  de  5,8 p.c. En revanche, les fonds propres,  le ratio de solvabilité et le ratio de liquidité ont augmenté respectivement de 22,9 p.c., 5,2 et 2,2 p.c. d’une année à l’autre.</w:t>
      </w:r>
    </w:p>
    <w:p w:rsidR="009056AA" w:rsidRPr="00C11169" w:rsidRDefault="00C53C8A" w:rsidP="00C53C8A">
      <w:pPr>
        <w:pStyle w:val="Titre"/>
        <w:jc w:val="both"/>
        <w:rPr>
          <w:rFonts w:asciiTheme="minorHAnsi" w:hAnsiTheme="minorHAnsi"/>
          <w:b w:val="0"/>
          <w:bCs w:val="0"/>
          <w:u w:val="none"/>
        </w:rPr>
        <w:sectPr w:rsidR="009056AA" w:rsidRPr="00C11169" w:rsidSect="00C53C8A">
          <w:pgSz w:w="11906" w:h="16838"/>
          <w:pgMar w:top="1417" w:right="1417" w:bottom="1417" w:left="1417" w:header="708" w:footer="708" w:gutter="0"/>
          <w:pgNumType w:start="1"/>
          <w:cols w:num="2" w:space="708"/>
          <w:docGrid w:linePitch="360"/>
        </w:sectPr>
      </w:pPr>
      <w:r w:rsidRPr="00C11169">
        <w:rPr>
          <w:rFonts w:asciiTheme="minorHAnsi" w:hAnsiTheme="minorHAnsi"/>
          <w:b w:val="0"/>
          <w:bCs w:val="0"/>
          <w:u w:val="none"/>
        </w:rPr>
        <w:t xml:space="preserve"> </w:t>
      </w:r>
    </w:p>
    <w:p w:rsidR="00C53C8A" w:rsidRPr="00C11169" w:rsidRDefault="00C53C8A" w:rsidP="00BC759B">
      <w:pPr>
        <w:pStyle w:val="Titre2"/>
        <w:spacing w:after="120"/>
        <w:rPr>
          <w:rFonts w:asciiTheme="minorHAnsi" w:hAnsiTheme="minorHAnsi"/>
          <w:sz w:val="24"/>
          <w:szCs w:val="24"/>
        </w:rPr>
      </w:pPr>
      <w:bookmarkStart w:id="64" w:name="_Toc357430887"/>
      <w:bookmarkStart w:id="65" w:name="_Toc357431353"/>
      <w:bookmarkStart w:id="66" w:name="_Toc357154664"/>
      <w:r w:rsidRPr="00C11169">
        <w:rPr>
          <w:rFonts w:asciiTheme="minorHAnsi" w:hAnsiTheme="minorHAnsi"/>
          <w:sz w:val="24"/>
          <w:szCs w:val="24"/>
        </w:rPr>
        <w:lastRenderedPageBreak/>
        <w:t>PRINCIPAUX INDICATEURS D’ACTIVITE DU SECTEUR BANCAIRE AU 31/03</w:t>
      </w:r>
      <w:r w:rsidR="008839B0" w:rsidRPr="00C11169">
        <w:rPr>
          <w:rFonts w:asciiTheme="minorHAnsi" w:hAnsiTheme="minorHAnsi"/>
          <w:sz w:val="24"/>
          <w:szCs w:val="24"/>
        </w:rPr>
        <w:t>/2013</w:t>
      </w:r>
      <w:r w:rsidR="00BC759B">
        <w:rPr>
          <w:rFonts w:asciiTheme="minorHAnsi" w:hAnsiTheme="minorHAnsi"/>
          <w:sz w:val="24"/>
          <w:szCs w:val="24"/>
        </w:rPr>
        <w:t xml:space="preserve">                                                   </w:t>
      </w:r>
      <w:r w:rsidR="008839B0" w:rsidRPr="00C11169">
        <w:rPr>
          <w:rFonts w:asciiTheme="minorHAnsi" w:hAnsiTheme="minorHAnsi"/>
          <w:sz w:val="24"/>
          <w:szCs w:val="24"/>
        </w:rPr>
        <w:t xml:space="preserve">  (en Millions de BIF)</w:t>
      </w:r>
      <w:bookmarkEnd w:id="64"/>
      <w:bookmarkEnd w:id="65"/>
    </w:p>
    <w:bookmarkStart w:id="67" w:name="_Toc357430888"/>
    <w:bookmarkStart w:id="68" w:name="_Toc357431354"/>
    <w:bookmarkEnd w:id="67"/>
    <w:bookmarkEnd w:id="68"/>
    <w:p w:rsidR="00C53C8A" w:rsidRPr="00C11169" w:rsidRDefault="008839B0" w:rsidP="00A67B1A">
      <w:pPr>
        <w:pStyle w:val="Titre1"/>
        <w:rPr>
          <w:rFonts w:asciiTheme="minorHAnsi" w:hAnsiTheme="minorHAnsi"/>
          <w:color w:val="00B0F0"/>
          <w:sz w:val="24"/>
          <w:szCs w:val="24"/>
        </w:rPr>
      </w:pPr>
      <w:r w:rsidRPr="00C11169">
        <w:rPr>
          <w:rFonts w:asciiTheme="minorHAnsi" w:hAnsiTheme="minorHAnsi"/>
          <w:color w:val="00B0F0"/>
          <w:sz w:val="24"/>
          <w:szCs w:val="24"/>
        </w:rPr>
        <w:object w:dxaOrig="12230" w:dyaOrig="6956">
          <v:shape id="_x0000_i1026" type="#_x0000_t75" style="width:6in;height:484.65pt" o:ole="">
            <v:imagedata r:id="rId13" o:title=""/>
          </v:shape>
          <o:OLEObject Type="Embed" ProgID="Excel.Sheet.12" ShapeID="_x0000_i1026" DrawAspect="Content" ObjectID="_1432012899" r:id="rId14"/>
        </w:object>
      </w:r>
    </w:p>
    <w:p w:rsidR="00C53C8A" w:rsidRPr="00C11169" w:rsidRDefault="00C53C8A" w:rsidP="00A67B1A">
      <w:pPr>
        <w:pStyle w:val="Titre1"/>
        <w:rPr>
          <w:rFonts w:asciiTheme="minorHAnsi" w:hAnsiTheme="minorHAnsi"/>
          <w:color w:val="00B0F0"/>
          <w:sz w:val="24"/>
          <w:szCs w:val="24"/>
        </w:rPr>
      </w:pPr>
    </w:p>
    <w:p w:rsidR="00C53C8A" w:rsidRPr="00C11169" w:rsidRDefault="00C53C8A" w:rsidP="00A67B1A">
      <w:pPr>
        <w:pStyle w:val="Titre1"/>
        <w:rPr>
          <w:rFonts w:asciiTheme="minorHAnsi" w:hAnsiTheme="minorHAnsi"/>
          <w:color w:val="00B0F0"/>
          <w:sz w:val="24"/>
          <w:szCs w:val="24"/>
        </w:rPr>
      </w:pPr>
    </w:p>
    <w:p w:rsidR="00C11169" w:rsidRPr="00C11169" w:rsidRDefault="00C11169" w:rsidP="00C11169">
      <w:pPr>
        <w:rPr>
          <w:sz w:val="24"/>
          <w:szCs w:val="24"/>
        </w:rPr>
      </w:pPr>
    </w:p>
    <w:p w:rsidR="00774C58" w:rsidRDefault="00B21CAC" w:rsidP="00C11169">
      <w:pPr>
        <w:pStyle w:val="Titre1"/>
        <w:rPr>
          <w:rFonts w:asciiTheme="minorHAnsi" w:hAnsiTheme="minorHAnsi"/>
          <w:color w:val="0070C0"/>
          <w:sz w:val="24"/>
          <w:szCs w:val="24"/>
        </w:rPr>
      </w:pPr>
      <w:bookmarkStart w:id="69" w:name="_Toc357431355"/>
      <w:r w:rsidRPr="00BC759B">
        <w:rPr>
          <w:rFonts w:asciiTheme="minorHAnsi" w:hAnsiTheme="minorHAnsi"/>
          <w:color w:val="0070C0"/>
          <w:sz w:val="24"/>
          <w:szCs w:val="24"/>
        </w:rPr>
        <w:lastRenderedPageBreak/>
        <w:t>ANNEXE 1 : PRINCIPAUX INDICATEURS MENSUELS</w:t>
      </w:r>
      <w:bookmarkEnd w:id="66"/>
      <w:bookmarkEnd w:id="69"/>
    </w:p>
    <w:p w:rsidR="00B21CAC" w:rsidRPr="00C11169" w:rsidRDefault="00A938CE" w:rsidP="002E32C1">
      <w:pPr>
        <w:rPr>
          <w:b/>
          <w:color w:val="00B0F0"/>
          <w:sz w:val="24"/>
          <w:szCs w:val="24"/>
        </w:rPr>
      </w:pPr>
      <w:r>
        <w:t xml:space="preserve"> </w:t>
      </w:r>
      <w:bookmarkStart w:id="70" w:name="_MON_1432012843"/>
      <w:bookmarkEnd w:id="70"/>
      <w:r w:rsidR="002E32C1" w:rsidRPr="00C11169">
        <w:rPr>
          <w:b/>
          <w:color w:val="00B0F0"/>
          <w:sz w:val="24"/>
          <w:szCs w:val="24"/>
        </w:rPr>
        <w:object w:dxaOrig="12544" w:dyaOrig="12974">
          <v:shape id="_x0000_i1028" type="#_x0000_t75" style="width:451.35pt;height:626pt" o:ole="">
            <v:imagedata r:id="rId15" o:title=""/>
          </v:shape>
          <o:OLEObject Type="Embed" ProgID="Excel.Sheet.8" ShapeID="_x0000_i1028" DrawAspect="Content" ObjectID="_1432012900" r:id="rId16"/>
        </w:object>
      </w:r>
    </w:p>
    <w:p w:rsidR="009056AA" w:rsidRPr="00C11169" w:rsidRDefault="009056AA" w:rsidP="009056AA">
      <w:pPr>
        <w:pStyle w:val="Titre"/>
        <w:rPr>
          <w:rFonts w:asciiTheme="minorHAnsi" w:hAnsiTheme="minorHAnsi"/>
        </w:rPr>
      </w:pPr>
      <w:bookmarkStart w:id="71" w:name="_Toc357154665"/>
    </w:p>
    <w:p w:rsidR="00B21CAC" w:rsidRDefault="00B21CAC" w:rsidP="00C11169">
      <w:pPr>
        <w:pStyle w:val="Titre1"/>
        <w:rPr>
          <w:rFonts w:asciiTheme="minorHAnsi" w:hAnsiTheme="minorHAnsi"/>
          <w:color w:val="0070C0"/>
          <w:sz w:val="24"/>
          <w:szCs w:val="24"/>
        </w:rPr>
      </w:pPr>
      <w:bookmarkStart w:id="72" w:name="_Toc357431356"/>
      <w:r w:rsidRPr="00BC759B">
        <w:rPr>
          <w:rFonts w:asciiTheme="minorHAnsi" w:hAnsiTheme="minorHAnsi"/>
          <w:color w:val="0070C0"/>
          <w:sz w:val="24"/>
          <w:szCs w:val="24"/>
        </w:rPr>
        <w:lastRenderedPageBreak/>
        <w:t>ANNEXE 2 : PRINCIPAUX INDICATEURS ANNUELS</w:t>
      </w:r>
      <w:bookmarkEnd w:id="71"/>
      <w:bookmarkEnd w:id="72"/>
    </w:p>
    <w:p w:rsidR="00BC759B" w:rsidRPr="00BC759B" w:rsidRDefault="00BC759B" w:rsidP="00BC759B"/>
    <w:bookmarkStart w:id="73" w:name="_MON_1431937350"/>
    <w:bookmarkEnd w:id="73"/>
    <w:p w:rsidR="00B21CAC" w:rsidRPr="00C11169" w:rsidRDefault="00807A5E" w:rsidP="00774C58">
      <w:pPr>
        <w:jc w:val="both"/>
        <w:rPr>
          <w:b/>
          <w:color w:val="00B0F0"/>
          <w:sz w:val="24"/>
          <w:szCs w:val="24"/>
        </w:rPr>
      </w:pPr>
      <w:r w:rsidRPr="00C11169">
        <w:rPr>
          <w:b/>
          <w:color w:val="00B0F0"/>
          <w:sz w:val="24"/>
          <w:szCs w:val="24"/>
        </w:rPr>
        <w:object w:dxaOrig="14109" w:dyaOrig="12981">
          <v:shape id="_x0000_i1027" type="#_x0000_t75" style="width:437.35pt;height:524.65pt" o:ole="">
            <v:imagedata r:id="rId17" o:title=""/>
          </v:shape>
          <o:OLEObject Type="Embed" ProgID="Excel.Sheet.12" ShapeID="_x0000_i1027" DrawAspect="Content" ObjectID="_1432012901" r:id="rId18"/>
        </w:object>
      </w:r>
    </w:p>
    <w:sectPr w:rsidR="00B21CAC" w:rsidRPr="00C11169" w:rsidSect="00C53C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400" w:rsidRDefault="00185400" w:rsidP="00E32C5B">
      <w:pPr>
        <w:spacing w:after="0" w:line="240" w:lineRule="auto"/>
      </w:pPr>
      <w:r>
        <w:separator/>
      </w:r>
    </w:p>
  </w:endnote>
  <w:endnote w:type="continuationSeparator" w:id="0">
    <w:p w:rsidR="00185400" w:rsidRDefault="00185400" w:rsidP="00E32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5B" w:rsidRDefault="00E32C5B">
    <w:pPr>
      <w:pStyle w:val="Pieddepage"/>
      <w:jc w:val="right"/>
    </w:pPr>
  </w:p>
  <w:p w:rsidR="00E32C5B" w:rsidRDefault="00E32C5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400" w:rsidRDefault="00185400" w:rsidP="00E32C5B">
      <w:pPr>
        <w:spacing w:after="0" w:line="240" w:lineRule="auto"/>
      </w:pPr>
      <w:r>
        <w:separator/>
      </w:r>
    </w:p>
  </w:footnote>
  <w:footnote w:type="continuationSeparator" w:id="0">
    <w:p w:rsidR="00185400" w:rsidRDefault="00185400" w:rsidP="00E32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4659"/>
      <w:docPartObj>
        <w:docPartGallery w:val="Page Numbers (Top of Page)"/>
        <w:docPartUnique/>
      </w:docPartObj>
    </w:sdtPr>
    <w:sdtContent>
      <w:p w:rsidR="00E32C5B" w:rsidRDefault="004537AF">
        <w:pPr>
          <w:pStyle w:val="En-tte"/>
          <w:jc w:val="right"/>
        </w:pPr>
        <w:fldSimple w:instr=" PAGE   \* MERGEFORMAT ">
          <w:r w:rsidR="002E32C1">
            <w:rPr>
              <w:noProof/>
            </w:rPr>
            <w:t>7</w:t>
          </w:r>
        </w:fldSimple>
      </w:p>
    </w:sdtContent>
  </w:sdt>
  <w:p w:rsidR="00E32C5B" w:rsidRDefault="00E32C5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C5B" w:rsidRDefault="00E32C5B">
    <w:pPr>
      <w:pStyle w:val="En-tte"/>
      <w:jc w:val="right"/>
    </w:pPr>
  </w:p>
  <w:p w:rsidR="00E32C5B" w:rsidRDefault="00E32C5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240BA"/>
    <w:multiLevelType w:val="hybridMultilevel"/>
    <w:tmpl w:val="C98A5226"/>
    <w:lvl w:ilvl="0" w:tplc="C6728820">
      <w:start w:val="2"/>
      <w:numFmt w:val="bullet"/>
      <w:lvlText w:val="-"/>
      <w:lvlJc w:val="left"/>
      <w:pPr>
        <w:ind w:left="420" w:hanging="360"/>
      </w:pPr>
      <w:rPr>
        <w:rFonts w:ascii="Calibri" w:eastAsia="Times New Roman"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E061F"/>
    <w:rsid w:val="00010848"/>
    <w:rsid w:val="0001340E"/>
    <w:rsid w:val="00015A1F"/>
    <w:rsid w:val="00026A42"/>
    <w:rsid w:val="0013492C"/>
    <w:rsid w:val="00185400"/>
    <w:rsid w:val="001A0606"/>
    <w:rsid w:val="0021540C"/>
    <w:rsid w:val="00273A17"/>
    <w:rsid w:val="002E038C"/>
    <w:rsid w:val="002E061F"/>
    <w:rsid w:val="002E32C1"/>
    <w:rsid w:val="002F0721"/>
    <w:rsid w:val="002F26E3"/>
    <w:rsid w:val="003223E8"/>
    <w:rsid w:val="004133A6"/>
    <w:rsid w:val="004537AF"/>
    <w:rsid w:val="00457196"/>
    <w:rsid w:val="004801F4"/>
    <w:rsid w:val="004C524A"/>
    <w:rsid w:val="00530C7C"/>
    <w:rsid w:val="00561032"/>
    <w:rsid w:val="005B3EA0"/>
    <w:rsid w:val="00621024"/>
    <w:rsid w:val="006212AC"/>
    <w:rsid w:val="0063355C"/>
    <w:rsid w:val="00652DCC"/>
    <w:rsid w:val="006761AC"/>
    <w:rsid w:val="006E12A1"/>
    <w:rsid w:val="006E7CB7"/>
    <w:rsid w:val="007729C5"/>
    <w:rsid w:val="00774C58"/>
    <w:rsid w:val="00777F5A"/>
    <w:rsid w:val="00785ED1"/>
    <w:rsid w:val="007C78DB"/>
    <w:rsid w:val="007F721D"/>
    <w:rsid w:val="00807A5E"/>
    <w:rsid w:val="00845103"/>
    <w:rsid w:val="00865E1B"/>
    <w:rsid w:val="00875565"/>
    <w:rsid w:val="008839B0"/>
    <w:rsid w:val="00887EE3"/>
    <w:rsid w:val="008943C2"/>
    <w:rsid w:val="009056AA"/>
    <w:rsid w:val="009D15DF"/>
    <w:rsid w:val="009E02CA"/>
    <w:rsid w:val="009E49EE"/>
    <w:rsid w:val="00A0181C"/>
    <w:rsid w:val="00A05F04"/>
    <w:rsid w:val="00A14C32"/>
    <w:rsid w:val="00A67B1A"/>
    <w:rsid w:val="00A75515"/>
    <w:rsid w:val="00A938CE"/>
    <w:rsid w:val="00AD03D6"/>
    <w:rsid w:val="00AD7F9F"/>
    <w:rsid w:val="00B21CAC"/>
    <w:rsid w:val="00B25223"/>
    <w:rsid w:val="00B9358D"/>
    <w:rsid w:val="00BC759B"/>
    <w:rsid w:val="00BF15CF"/>
    <w:rsid w:val="00BF491C"/>
    <w:rsid w:val="00C052EC"/>
    <w:rsid w:val="00C11169"/>
    <w:rsid w:val="00C25020"/>
    <w:rsid w:val="00C351CC"/>
    <w:rsid w:val="00C53C8A"/>
    <w:rsid w:val="00C619D4"/>
    <w:rsid w:val="00CB7A6C"/>
    <w:rsid w:val="00CD342A"/>
    <w:rsid w:val="00CF4A5D"/>
    <w:rsid w:val="00D03B2A"/>
    <w:rsid w:val="00D15228"/>
    <w:rsid w:val="00D2071C"/>
    <w:rsid w:val="00D21559"/>
    <w:rsid w:val="00D374D0"/>
    <w:rsid w:val="00D6525D"/>
    <w:rsid w:val="00E00C4C"/>
    <w:rsid w:val="00E32C5B"/>
    <w:rsid w:val="00E33830"/>
    <w:rsid w:val="00E37411"/>
    <w:rsid w:val="00E95B59"/>
    <w:rsid w:val="00EB1A77"/>
    <w:rsid w:val="00EB7D0E"/>
    <w:rsid w:val="00EC5AC7"/>
    <w:rsid w:val="00EC763A"/>
    <w:rsid w:val="00ED51E0"/>
    <w:rsid w:val="00F27CE9"/>
    <w:rsid w:val="00F609CC"/>
    <w:rsid w:val="00F739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5D"/>
  </w:style>
  <w:style w:type="paragraph" w:styleId="Titre1">
    <w:name w:val="heading 1"/>
    <w:basedOn w:val="Normal"/>
    <w:next w:val="Normal"/>
    <w:link w:val="Titre1Car"/>
    <w:uiPriority w:val="9"/>
    <w:qFormat/>
    <w:rsid w:val="00A67B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67B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67B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7B1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67B1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67B1A"/>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unhideWhenUsed/>
    <w:qFormat/>
    <w:rsid w:val="00E32C5B"/>
    <w:pPr>
      <w:outlineLvl w:val="9"/>
    </w:pPr>
  </w:style>
  <w:style w:type="paragraph" w:styleId="TM1">
    <w:name w:val="toc 1"/>
    <w:basedOn w:val="Normal"/>
    <w:next w:val="Normal"/>
    <w:autoRedefine/>
    <w:uiPriority w:val="39"/>
    <w:unhideWhenUsed/>
    <w:rsid w:val="00D21559"/>
    <w:pPr>
      <w:tabs>
        <w:tab w:val="right" w:leader="dot" w:pos="9062"/>
      </w:tabs>
      <w:spacing w:after="0"/>
    </w:pPr>
    <w:rPr>
      <w:b/>
      <w:noProof/>
      <w:sz w:val="24"/>
      <w:szCs w:val="24"/>
      <w:lang w:val="fr-BE"/>
    </w:rPr>
  </w:style>
  <w:style w:type="paragraph" w:styleId="TM2">
    <w:name w:val="toc 2"/>
    <w:basedOn w:val="Normal"/>
    <w:next w:val="Normal"/>
    <w:autoRedefine/>
    <w:uiPriority w:val="39"/>
    <w:unhideWhenUsed/>
    <w:rsid w:val="00E32C5B"/>
    <w:pPr>
      <w:spacing w:after="100"/>
      <w:ind w:left="220"/>
    </w:pPr>
  </w:style>
  <w:style w:type="paragraph" w:styleId="TM3">
    <w:name w:val="toc 3"/>
    <w:basedOn w:val="Normal"/>
    <w:next w:val="Normal"/>
    <w:autoRedefine/>
    <w:uiPriority w:val="39"/>
    <w:unhideWhenUsed/>
    <w:rsid w:val="00E32C5B"/>
    <w:pPr>
      <w:spacing w:after="100"/>
      <w:ind w:left="440"/>
    </w:pPr>
  </w:style>
  <w:style w:type="character" w:styleId="Lienhypertexte">
    <w:name w:val="Hyperlink"/>
    <w:basedOn w:val="Policepardfaut"/>
    <w:uiPriority w:val="99"/>
    <w:unhideWhenUsed/>
    <w:rsid w:val="00E32C5B"/>
    <w:rPr>
      <w:color w:val="0000FF" w:themeColor="hyperlink"/>
      <w:u w:val="single"/>
    </w:rPr>
  </w:style>
  <w:style w:type="paragraph" w:styleId="Textedebulles">
    <w:name w:val="Balloon Text"/>
    <w:basedOn w:val="Normal"/>
    <w:link w:val="TextedebullesCar"/>
    <w:uiPriority w:val="99"/>
    <w:semiHidden/>
    <w:unhideWhenUsed/>
    <w:rsid w:val="00E32C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C5B"/>
    <w:rPr>
      <w:rFonts w:ascii="Tahoma" w:hAnsi="Tahoma" w:cs="Tahoma"/>
      <w:sz w:val="16"/>
      <w:szCs w:val="16"/>
    </w:rPr>
  </w:style>
  <w:style w:type="paragraph" w:styleId="En-tte">
    <w:name w:val="header"/>
    <w:basedOn w:val="Normal"/>
    <w:link w:val="En-tteCar"/>
    <w:uiPriority w:val="99"/>
    <w:unhideWhenUsed/>
    <w:rsid w:val="00E32C5B"/>
    <w:pPr>
      <w:tabs>
        <w:tab w:val="center" w:pos="4536"/>
        <w:tab w:val="right" w:pos="9072"/>
      </w:tabs>
      <w:spacing w:after="0" w:line="240" w:lineRule="auto"/>
    </w:pPr>
  </w:style>
  <w:style w:type="character" w:customStyle="1" w:styleId="En-tteCar">
    <w:name w:val="En-tête Car"/>
    <w:basedOn w:val="Policepardfaut"/>
    <w:link w:val="En-tte"/>
    <w:uiPriority w:val="99"/>
    <w:rsid w:val="00E32C5B"/>
  </w:style>
  <w:style w:type="paragraph" w:styleId="Pieddepage">
    <w:name w:val="footer"/>
    <w:basedOn w:val="Normal"/>
    <w:link w:val="PieddepageCar"/>
    <w:uiPriority w:val="99"/>
    <w:unhideWhenUsed/>
    <w:rsid w:val="00E32C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C5B"/>
  </w:style>
  <w:style w:type="paragraph" w:styleId="Titre">
    <w:name w:val="Title"/>
    <w:basedOn w:val="Normal"/>
    <w:link w:val="TitreCar"/>
    <w:qFormat/>
    <w:rsid w:val="00C53C8A"/>
    <w:pPr>
      <w:spacing w:after="0" w:line="240" w:lineRule="auto"/>
      <w:jc w:val="center"/>
    </w:pPr>
    <w:rPr>
      <w:rFonts w:ascii="Times New Roman" w:eastAsia="Times New Roman" w:hAnsi="Times New Roman" w:cs="Times New Roman"/>
      <w:b/>
      <w:bCs/>
      <w:sz w:val="24"/>
      <w:szCs w:val="24"/>
      <w:u w:val="single"/>
      <w:lang w:eastAsia="fr-FR"/>
    </w:rPr>
  </w:style>
  <w:style w:type="character" w:customStyle="1" w:styleId="TitreCar">
    <w:name w:val="Titre Car"/>
    <w:basedOn w:val="Policepardfaut"/>
    <w:link w:val="Titre"/>
    <w:rsid w:val="00C53C8A"/>
    <w:rPr>
      <w:rFonts w:ascii="Times New Roman" w:eastAsia="Times New Roman" w:hAnsi="Times New Roman" w:cs="Times New Roman"/>
      <w:b/>
      <w:bCs/>
      <w:sz w:val="24"/>
      <w:szCs w:val="24"/>
      <w:u w:val="single"/>
      <w:lang w:eastAsia="fr-FR"/>
    </w:rPr>
  </w:style>
</w:styles>
</file>

<file path=word/webSettings.xml><?xml version="1.0" encoding="utf-8"?>
<w:webSettings xmlns:r="http://schemas.openxmlformats.org/officeDocument/2006/relationships" xmlns:w="http://schemas.openxmlformats.org/wordprocessingml/2006/main">
  <w:divs>
    <w:div w:id="27607929">
      <w:bodyDiv w:val="1"/>
      <w:marLeft w:val="0"/>
      <w:marRight w:val="0"/>
      <w:marTop w:val="0"/>
      <w:marBottom w:val="0"/>
      <w:divBdr>
        <w:top w:val="none" w:sz="0" w:space="0" w:color="auto"/>
        <w:left w:val="none" w:sz="0" w:space="0" w:color="auto"/>
        <w:bottom w:val="none" w:sz="0" w:space="0" w:color="auto"/>
        <w:right w:val="none" w:sz="0" w:space="0" w:color="auto"/>
      </w:divBdr>
    </w:div>
    <w:div w:id="105008806">
      <w:bodyDiv w:val="1"/>
      <w:marLeft w:val="0"/>
      <w:marRight w:val="0"/>
      <w:marTop w:val="0"/>
      <w:marBottom w:val="0"/>
      <w:divBdr>
        <w:top w:val="none" w:sz="0" w:space="0" w:color="auto"/>
        <w:left w:val="none" w:sz="0" w:space="0" w:color="auto"/>
        <w:bottom w:val="none" w:sz="0" w:space="0" w:color="auto"/>
        <w:right w:val="none" w:sz="0" w:space="0" w:color="auto"/>
      </w:divBdr>
    </w:div>
    <w:div w:id="204686615">
      <w:bodyDiv w:val="1"/>
      <w:marLeft w:val="0"/>
      <w:marRight w:val="0"/>
      <w:marTop w:val="0"/>
      <w:marBottom w:val="0"/>
      <w:divBdr>
        <w:top w:val="none" w:sz="0" w:space="0" w:color="auto"/>
        <w:left w:val="none" w:sz="0" w:space="0" w:color="auto"/>
        <w:bottom w:val="none" w:sz="0" w:space="0" w:color="auto"/>
        <w:right w:val="none" w:sz="0" w:space="0" w:color="auto"/>
      </w:divBdr>
    </w:div>
    <w:div w:id="430591614">
      <w:bodyDiv w:val="1"/>
      <w:marLeft w:val="0"/>
      <w:marRight w:val="0"/>
      <w:marTop w:val="0"/>
      <w:marBottom w:val="0"/>
      <w:divBdr>
        <w:top w:val="none" w:sz="0" w:space="0" w:color="auto"/>
        <w:left w:val="none" w:sz="0" w:space="0" w:color="auto"/>
        <w:bottom w:val="none" w:sz="0" w:space="0" w:color="auto"/>
        <w:right w:val="none" w:sz="0" w:space="0" w:color="auto"/>
      </w:divBdr>
    </w:div>
    <w:div w:id="1097486568">
      <w:bodyDiv w:val="1"/>
      <w:marLeft w:val="0"/>
      <w:marRight w:val="0"/>
      <w:marTop w:val="0"/>
      <w:marBottom w:val="0"/>
      <w:divBdr>
        <w:top w:val="none" w:sz="0" w:space="0" w:color="auto"/>
        <w:left w:val="none" w:sz="0" w:space="0" w:color="auto"/>
        <w:bottom w:val="none" w:sz="0" w:space="0" w:color="auto"/>
        <w:right w:val="none" w:sz="0" w:space="0" w:color="auto"/>
      </w:divBdr>
    </w:div>
    <w:div w:id="1322123636">
      <w:bodyDiv w:val="1"/>
      <w:marLeft w:val="0"/>
      <w:marRight w:val="0"/>
      <w:marTop w:val="0"/>
      <w:marBottom w:val="0"/>
      <w:divBdr>
        <w:top w:val="none" w:sz="0" w:space="0" w:color="auto"/>
        <w:left w:val="none" w:sz="0" w:space="0" w:color="auto"/>
        <w:bottom w:val="none" w:sz="0" w:space="0" w:color="auto"/>
        <w:right w:val="none" w:sz="0" w:space="0" w:color="auto"/>
      </w:divBdr>
    </w:div>
    <w:div w:id="1542328482">
      <w:bodyDiv w:val="1"/>
      <w:marLeft w:val="0"/>
      <w:marRight w:val="0"/>
      <w:marTop w:val="0"/>
      <w:marBottom w:val="0"/>
      <w:divBdr>
        <w:top w:val="none" w:sz="0" w:space="0" w:color="auto"/>
        <w:left w:val="none" w:sz="0" w:space="0" w:color="auto"/>
        <w:bottom w:val="none" w:sz="0" w:space="0" w:color="auto"/>
        <w:right w:val="none" w:sz="0" w:space="0" w:color="auto"/>
      </w:divBdr>
    </w:div>
    <w:div w:id="1850488219">
      <w:bodyDiv w:val="1"/>
      <w:marLeft w:val="0"/>
      <w:marRight w:val="0"/>
      <w:marTop w:val="0"/>
      <w:marBottom w:val="0"/>
      <w:divBdr>
        <w:top w:val="none" w:sz="0" w:space="0" w:color="auto"/>
        <w:left w:val="none" w:sz="0" w:space="0" w:color="auto"/>
        <w:bottom w:val="none" w:sz="0" w:space="0" w:color="auto"/>
        <w:right w:val="none" w:sz="0" w:space="0" w:color="auto"/>
      </w:divBdr>
    </w:div>
    <w:div w:id="1854609167">
      <w:bodyDiv w:val="1"/>
      <w:marLeft w:val="0"/>
      <w:marRight w:val="0"/>
      <w:marTop w:val="0"/>
      <w:marBottom w:val="0"/>
      <w:divBdr>
        <w:top w:val="none" w:sz="0" w:space="0" w:color="auto"/>
        <w:left w:val="none" w:sz="0" w:space="0" w:color="auto"/>
        <w:bottom w:val="none" w:sz="0" w:space="0" w:color="auto"/>
        <w:right w:val="none" w:sz="0" w:space="0" w:color="auto"/>
      </w:divBdr>
    </w:div>
    <w:div w:id="20944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package" Target="embeddings/Feuille_Microsoft_Office_Excel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Feuille_Microsoft_Office_Excel_97-20031.xls"/><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Feuille_Microsoft_Office_Excel_97-2003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Feuille_Microsoft_Office_Excel1.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69B2A-A26F-452B-A1A2-AED1FFDF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2663</Words>
  <Characters>14650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KAIM</cp:lastModifiedBy>
  <cp:revision>17</cp:revision>
  <cp:lastPrinted>2013-06-06T06:30:00Z</cp:lastPrinted>
  <dcterms:created xsi:type="dcterms:W3CDTF">2013-05-27T13:30:00Z</dcterms:created>
  <dcterms:modified xsi:type="dcterms:W3CDTF">2013-06-06T06:35:00Z</dcterms:modified>
</cp:coreProperties>
</file>